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D5DB3" w14:textId="77777777" w:rsidR="00CC33F4" w:rsidRPr="007D207D" w:rsidRDefault="00CC33F4" w:rsidP="00CC33F4">
      <w:pPr>
        <w:tabs>
          <w:tab w:val="num" w:pos="0"/>
        </w:tabs>
        <w:spacing w:line="276" w:lineRule="auto"/>
        <w:ind w:right="25"/>
        <w:jc w:val="right"/>
        <w:rPr>
          <w:rFonts w:ascii="Verdana" w:hAnsi="Verdana"/>
          <w:sz w:val="18"/>
          <w:szCs w:val="18"/>
        </w:rPr>
      </w:pPr>
      <w:bookmarkStart w:id="0" w:name="_Toc97411760"/>
      <w:r w:rsidRPr="007D207D">
        <w:rPr>
          <w:rFonts w:ascii="Verdana" w:hAnsi="Verdana"/>
          <w:sz w:val="18"/>
          <w:szCs w:val="18"/>
        </w:rPr>
        <w:t>Załącznik nr 2</w:t>
      </w:r>
    </w:p>
    <w:p w14:paraId="22D0659C" w14:textId="77777777" w:rsidR="00CC33F4" w:rsidRPr="007D207D" w:rsidRDefault="00CC33F4" w:rsidP="00CC33F4">
      <w:pPr>
        <w:tabs>
          <w:tab w:val="num" w:pos="0"/>
        </w:tabs>
        <w:spacing w:line="276" w:lineRule="auto"/>
        <w:ind w:right="25"/>
        <w:jc w:val="center"/>
        <w:rPr>
          <w:rFonts w:ascii="Verdana" w:hAnsi="Verdana"/>
          <w:sz w:val="18"/>
          <w:szCs w:val="18"/>
        </w:rPr>
      </w:pPr>
    </w:p>
    <w:p w14:paraId="2FD6D363" w14:textId="14E17424" w:rsidR="00CC33F4" w:rsidRPr="007D207D" w:rsidRDefault="00B70A9E" w:rsidP="00CC33F4">
      <w:pPr>
        <w:tabs>
          <w:tab w:val="num" w:pos="0"/>
        </w:tabs>
        <w:spacing w:line="276" w:lineRule="auto"/>
        <w:ind w:right="25"/>
        <w:jc w:val="center"/>
        <w:rPr>
          <w:rFonts w:ascii="Verdana" w:hAnsi="Verdana"/>
          <w:b/>
          <w:bCs/>
          <w:sz w:val="18"/>
          <w:szCs w:val="18"/>
        </w:rPr>
      </w:pPr>
      <w:r>
        <w:rPr>
          <w:rFonts w:ascii="Verdana" w:hAnsi="Verdana"/>
          <w:b/>
          <w:bCs/>
          <w:sz w:val="18"/>
          <w:szCs w:val="18"/>
        </w:rPr>
        <w:t>WYTYCZNE DLA INSTALACJI ELEKTRYCZNYCH</w:t>
      </w:r>
    </w:p>
    <w:p w14:paraId="5F783BE7" w14:textId="77777777"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p>
    <w:p w14:paraId="229EFCF0" w14:textId="77777777"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r w:rsidRPr="007D207D">
        <w:rPr>
          <w:rFonts w:ascii="Verdana" w:hAnsi="Verdana" w:cs="Courier New"/>
          <w:b/>
          <w:sz w:val="18"/>
          <w:szCs w:val="18"/>
        </w:rPr>
        <w:t>ZASILANIE ENERGIĘ ELEKTRYCZNĄ</w:t>
      </w:r>
      <w:bookmarkEnd w:id="0"/>
    </w:p>
    <w:p w14:paraId="485A4BDE" w14:textId="51372560" w:rsidR="00CC33F4" w:rsidRPr="007D207D" w:rsidRDefault="00CC33F4" w:rsidP="00CC33F4">
      <w:pPr>
        <w:tabs>
          <w:tab w:val="num" w:pos="0"/>
        </w:tabs>
        <w:spacing w:line="276" w:lineRule="auto"/>
        <w:ind w:right="25"/>
        <w:jc w:val="both"/>
        <w:rPr>
          <w:rFonts w:ascii="Verdana" w:hAnsi="Verdana"/>
          <w:sz w:val="18"/>
          <w:szCs w:val="18"/>
        </w:rPr>
      </w:pPr>
      <w:bookmarkStart w:id="1" w:name="__RefHeading__9335_716293975"/>
      <w:bookmarkEnd w:id="1"/>
      <w:r w:rsidRPr="007D207D">
        <w:rPr>
          <w:rFonts w:ascii="Verdana" w:hAnsi="Verdana"/>
          <w:color w:val="000000"/>
          <w:sz w:val="18"/>
          <w:szCs w:val="18"/>
        </w:rPr>
        <w:t xml:space="preserve">Zasilanie instalacji elektrycznej </w:t>
      </w:r>
      <w:r w:rsidR="00B133C6">
        <w:rPr>
          <w:rFonts w:ascii="Verdana" w:hAnsi="Verdana"/>
          <w:color w:val="000000"/>
          <w:sz w:val="18"/>
          <w:szCs w:val="18"/>
        </w:rPr>
        <w:t>lokali</w:t>
      </w:r>
      <w:r w:rsidRPr="007D207D">
        <w:rPr>
          <w:rFonts w:ascii="Verdana" w:hAnsi="Verdana"/>
          <w:color w:val="000000"/>
          <w:sz w:val="18"/>
          <w:szCs w:val="18"/>
        </w:rPr>
        <w:t xml:space="preserve"> odbędzie się </w:t>
      </w:r>
      <w:r w:rsidRPr="007D207D">
        <w:rPr>
          <w:rFonts w:ascii="Verdana" w:hAnsi="Verdana"/>
          <w:color w:val="000000"/>
          <w:sz w:val="18"/>
          <w:szCs w:val="18"/>
        </w:rPr>
        <w:br/>
        <w:t>z istniejącej rozdzielni głównej znajdującej się na parterze</w:t>
      </w:r>
      <w:r w:rsidR="00B133C6">
        <w:rPr>
          <w:rFonts w:ascii="Verdana" w:hAnsi="Verdana"/>
          <w:color w:val="000000"/>
          <w:sz w:val="18"/>
          <w:szCs w:val="18"/>
        </w:rPr>
        <w:t xml:space="preserve"> do liczników indywidualnych w każdym z lokali.</w:t>
      </w:r>
    </w:p>
    <w:p w14:paraId="4B1D64D5" w14:textId="77777777"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p>
    <w:p w14:paraId="41B20969" w14:textId="18C0E5F6"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bookmarkStart w:id="2" w:name="__RefHeading___Toc1740_2820511405"/>
      <w:bookmarkStart w:id="3" w:name="_Toc97411764"/>
      <w:bookmarkStart w:id="4" w:name="__RefHeading__3496_693126787"/>
      <w:bookmarkStart w:id="5" w:name="__DdeLink__2769_693126787"/>
      <w:bookmarkEnd w:id="2"/>
      <w:bookmarkEnd w:id="4"/>
      <w:r w:rsidRPr="007D207D">
        <w:rPr>
          <w:rFonts w:ascii="Verdana" w:hAnsi="Verdana" w:cs="Courier New"/>
          <w:b/>
          <w:bCs/>
          <w:sz w:val="18"/>
          <w:szCs w:val="18"/>
        </w:rPr>
        <w:t>OŚWIETLENIE PODSTAWOWE</w:t>
      </w:r>
      <w:bookmarkEnd w:id="3"/>
      <w:bookmarkEnd w:id="5"/>
    </w:p>
    <w:p w14:paraId="661FC64D" w14:textId="77777777"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Dla poszczególnych pomieszczeń przyjęto następujące wartości średniego natężenia oświetlenia:</w:t>
      </w:r>
    </w:p>
    <w:p w14:paraId="6C076AE9" w14:textId="50FB52EA" w:rsidR="00CC33F4" w:rsidRPr="007D207D" w:rsidRDefault="00B133C6" w:rsidP="00CC33F4">
      <w:pPr>
        <w:numPr>
          <w:ilvl w:val="0"/>
          <w:numId w:val="4"/>
        </w:numPr>
        <w:tabs>
          <w:tab w:val="clear" w:pos="720"/>
        </w:tabs>
        <w:spacing w:line="276" w:lineRule="auto"/>
        <w:ind w:left="567" w:right="25" w:hanging="284"/>
        <w:jc w:val="both"/>
        <w:rPr>
          <w:rFonts w:ascii="Verdana" w:hAnsi="Verdana"/>
          <w:sz w:val="18"/>
          <w:szCs w:val="18"/>
        </w:rPr>
      </w:pPr>
      <w:r>
        <w:rPr>
          <w:rFonts w:ascii="Verdana" w:hAnsi="Verdana"/>
          <w:color w:val="000000"/>
          <w:sz w:val="18"/>
          <w:szCs w:val="18"/>
        </w:rPr>
        <w:t>Pokoje</w:t>
      </w:r>
      <w:r w:rsidR="00CC33F4" w:rsidRPr="007D207D">
        <w:rPr>
          <w:rFonts w:ascii="Verdana" w:hAnsi="Verdana"/>
          <w:color w:val="000000"/>
          <w:sz w:val="18"/>
          <w:szCs w:val="18"/>
        </w:rPr>
        <w:t>: 300 lx;</w:t>
      </w:r>
    </w:p>
    <w:p w14:paraId="739D5EE8" w14:textId="1048FD40" w:rsidR="00CC33F4" w:rsidRPr="007D207D" w:rsidRDefault="00B133C6" w:rsidP="00CC33F4">
      <w:pPr>
        <w:numPr>
          <w:ilvl w:val="0"/>
          <w:numId w:val="4"/>
        </w:numPr>
        <w:tabs>
          <w:tab w:val="clear" w:pos="720"/>
        </w:tabs>
        <w:spacing w:line="276" w:lineRule="auto"/>
        <w:ind w:left="567" w:right="25" w:hanging="284"/>
        <w:jc w:val="both"/>
        <w:rPr>
          <w:rFonts w:ascii="Verdana" w:hAnsi="Verdana"/>
          <w:sz w:val="18"/>
          <w:szCs w:val="18"/>
        </w:rPr>
      </w:pPr>
      <w:r>
        <w:rPr>
          <w:rFonts w:ascii="Verdana" w:hAnsi="Verdana"/>
          <w:color w:val="000000"/>
          <w:sz w:val="18"/>
          <w:szCs w:val="18"/>
        </w:rPr>
        <w:t>Kuchnie, Pokoje z aneksami kuchennymi</w:t>
      </w:r>
      <w:r w:rsidR="00CC33F4" w:rsidRPr="007D207D">
        <w:rPr>
          <w:rFonts w:ascii="Verdana" w:hAnsi="Verdana"/>
          <w:color w:val="000000"/>
          <w:sz w:val="18"/>
          <w:szCs w:val="18"/>
        </w:rPr>
        <w:t xml:space="preserve">: </w:t>
      </w:r>
      <w:r>
        <w:rPr>
          <w:rFonts w:ascii="Verdana" w:hAnsi="Verdana"/>
          <w:color w:val="000000"/>
          <w:sz w:val="18"/>
          <w:szCs w:val="18"/>
        </w:rPr>
        <w:t>3</w:t>
      </w:r>
      <w:r w:rsidR="00CC33F4" w:rsidRPr="007D207D">
        <w:rPr>
          <w:rFonts w:ascii="Verdana" w:hAnsi="Verdana"/>
          <w:color w:val="000000"/>
          <w:sz w:val="18"/>
          <w:szCs w:val="18"/>
        </w:rPr>
        <w:t>00 lx;</w:t>
      </w:r>
    </w:p>
    <w:p w14:paraId="298C2889" w14:textId="77777777" w:rsidR="00CC33F4" w:rsidRPr="007D207D" w:rsidRDefault="00CC33F4" w:rsidP="00CC33F4">
      <w:pPr>
        <w:numPr>
          <w:ilvl w:val="0"/>
          <w:numId w:val="4"/>
        </w:numPr>
        <w:tabs>
          <w:tab w:val="clear" w:pos="720"/>
        </w:tabs>
        <w:spacing w:line="276" w:lineRule="auto"/>
        <w:ind w:left="567" w:right="25" w:hanging="284"/>
        <w:jc w:val="both"/>
        <w:rPr>
          <w:rFonts w:ascii="Verdana" w:hAnsi="Verdana"/>
          <w:sz w:val="18"/>
          <w:szCs w:val="18"/>
        </w:rPr>
      </w:pPr>
      <w:r w:rsidRPr="007D207D">
        <w:rPr>
          <w:rFonts w:ascii="Verdana" w:hAnsi="Verdana"/>
          <w:color w:val="000000"/>
          <w:sz w:val="18"/>
          <w:szCs w:val="18"/>
        </w:rPr>
        <w:t>Toalety: 200 lx;</w:t>
      </w:r>
    </w:p>
    <w:p w14:paraId="00FBE7F7" w14:textId="77777777" w:rsidR="00CC33F4" w:rsidRPr="007D207D" w:rsidRDefault="00CC33F4" w:rsidP="00CC33F4">
      <w:pPr>
        <w:numPr>
          <w:ilvl w:val="0"/>
          <w:numId w:val="4"/>
        </w:numPr>
        <w:tabs>
          <w:tab w:val="clear" w:pos="720"/>
        </w:tabs>
        <w:spacing w:line="276" w:lineRule="auto"/>
        <w:ind w:left="567" w:right="25" w:hanging="284"/>
        <w:jc w:val="both"/>
        <w:rPr>
          <w:rFonts w:ascii="Verdana" w:hAnsi="Verdana"/>
          <w:sz w:val="18"/>
          <w:szCs w:val="18"/>
        </w:rPr>
      </w:pPr>
      <w:r w:rsidRPr="007D207D">
        <w:rPr>
          <w:rFonts w:ascii="Verdana" w:hAnsi="Verdana"/>
          <w:color w:val="000000"/>
          <w:sz w:val="18"/>
          <w:szCs w:val="18"/>
        </w:rPr>
        <w:t>Komunikacyjne: 100 lx;</w:t>
      </w:r>
    </w:p>
    <w:p w14:paraId="5AFE9A30" w14:textId="5B283DB1"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Typy i rodzaje opraw należy dopasować do warunków panujących w poszczególnych pomieszczeniach. Wszystkie parametry podane w opracowaniu mogą być zmienione w zakresie 5% od podanych wartości. Wszystkie oprawy oświetleniowe znajdujące się w budynku należy zdemontować, po wykonaniu prac przebudowy pomieszczeń zamontować nowe z wbudowanym źródłem światła LED w lokalizacjach uzgodnionych z Zamawiającym.</w:t>
      </w:r>
    </w:p>
    <w:p w14:paraId="746E0AC3" w14:textId="77777777"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Sterowanie pracą obwodów oświetlenia wnętrzowego będzie odbywać się przy zastosowaniu:</w:t>
      </w:r>
    </w:p>
    <w:p w14:paraId="3C9FD2A7" w14:textId="77777777" w:rsidR="00CC33F4" w:rsidRPr="007D207D" w:rsidRDefault="00CC33F4" w:rsidP="00CC33F4">
      <w:pPr>
        <w:numPr>
          <w:ilvl w:val="0"/>
          <w:numId w:val="5"/>
        </w:numPr>
        <w:tabs>
          <w:tab w:val="clear" w:pos="720"/>
        </w:tabs>
        <w:spacing w:line="276" w:lineRule="auto"/>
        <w:ind w:left="567" w:right="25" w:hanging="284"/>
        <w:jc w:val="both"/>
        <w:rPr>
          <w:rFonts w:ascii="Verdana" w:hAnsi="Verdana"/>
          <w:sz w:val="18"/>
          <w:szCs w:val="18"/>
        </w:rPr>
      </w:pPr>
      <w:r w:rsidRPr="007D207D">
        <w:rPr>
          <w:rFonts w:ascii="Verdana" w:hAnsi="Verdana"/>
          <w:color w:val="000000"/>
          <w:sz w:val="18"/>
          <w:szCs w:val="18"/>
        </w:rPr>
        <w:t>Lokalnych wyłączników świecznikowych, pojedynczych oraz schodowych w pomieszczeniach użytkowych o niewielkiej powierzchni;</w:t>
      </w:r>
    </w:p>
    <w:p w14:paraId="5A61153A" w14:textId="77777777" w:rsidR="00CC33F4" w:rsidRPr="007D207D" w:rsidRDefault="00CC33F4" w:rsidP="00CC33F4">
      <w:pPr>
        <w:numPr>
          <w:ilvl w:val="0"/>
          <w:numId w:val="5"/>
        </w:numPr>
        <w:tabs>
          <w:tab w:val="clear" w:pos="720"/>
        </w:tabs>
        <w:spacing w:line="276" w:lineRule="auto"/>
        <w:ind w:left="567" w:right="25" w:hanging="284"/>
        <w:jc w:val="both"/>
        <w:rPr>
          <w:rFonts w:ascii="Verdana" w:hAnsi="Verdana"/>
          <w:sz w:val="18"/>
          <w:szCs w:val="18"/>
        </w:rPr>
      </w:pPr>
      <w:r w:rsidRPr="007D207D">
        <w:rPr>
          <w:rFonts w:ascii="Verdana" w:hAnsi="Verdana"/>
          <w:color w:val="000000"/>
          <w:sz w:val="18"/>
          <w:szCs w:val="18"/>
        </w:rPr>
        <w:t>Czujników obecności w toaletach, na ciągach komunikacyjnych oraz na biegach schodowych.</w:t>
      </w:r>
    </w:p>
    <w:p w14:paraId="597833A0" w14:textId="77777777" w:rsidR="00CC33F4" w:rsidRPr="007D207D" w:rsidRDefault="00CC33F4" w:rsidP="00CC33F4">
      <w:pPr>
        <w:tabs>
          <w:tab w:val="num" w:pos="0"/>
        </w:tabs>
        <w:spacing w:line="276" w:lineRule="auto"/>
        <w:ind w:right="25"/>
        <w:jc w:val="both"/>
        <w:rPr>
          <w:rFonts w:ascii="Verdana" w:hAnsi="Verdana"/>
          <w:sz w:val="18"/>
          <w:szCs w:val="18"/>
        </w:rPr>
      </w:pPr>
    </w:p>
    <w:p w14:paraId="2D3DFF55" w14:textId="77777777" w:rsidR="00CC33F4" w:rsidRPr="007D207D" w:rsidRDefault="00CC33F4" w:rsidP="00CC33F4">
      <w:pPr>
        <w:numPr>
          <w:ilvl w:val="0"/>
          <w:numId w:val="2"/>
        </w:numPr>
        <w:tabs>
          <w:tab w:val="left" w:pos="993"/>
        </w:tabs>
        <w:spacing w:line="276" w:lineRule="auto"/>
        <w:ind w:left="0" w:right="25" w:firstLine="0"/>
        <w:jc w:val="both"/>
        <w:rPr>
          <w:rFonts w:ascii="Verdana" w:hAnsi="Verdana"/>
          <w:color w:val="000000"/>
          <w:sz w:val="18"/>
          <w:szCs w:val="18"/>
          <w:highlight w:val="yellow"/>
        </w:rPr>
      </w:pPr>
      <w:bookmarkStart w:id="6" w:name="__RefHeading___Toc3144_3343894476"/>
      <w:bookmarkEnd w:id="6"/>
    </w:p>
    <w:p w14:paraId="3E7939F1" w14:textId="77777777"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bookmarkStart w:id="7" w:name="__RefHeading___Toc1744_2820511405"/>
      <w:bookmarkStart w:id="8" w:name="__DdeLink__3031_693126787"/>
      <w:bookmarkStart w:id="9" w:name="_Toc97411766"/>
      <w:bookmarkEnd w:id="7"/>
      <w:r w:rsidRPr="007D207D">
        <w:rPr>
          <w:rFonts w:ascii="Verdana" w:hAnsi="Verdana" w:cs="Courier New"/>
          <w:b/>
          <w:color w:val="000000"/>
          <w:sz w:val="18"/>
          <w:szCs w:val="18"/>
        </w:rPr>
        <w:t>STANDARDY WYKONANIA INSTALACJI ELEKTRYCZNYCH</w:t>
      </w:r>
      <w:bookmarkEnd w:id="8"/>
      <w:r w:rsidRPr="007D207D">
        <w:rPr>
          <w:rFonts w:ascii="Verdana" w:hAnsi="Verdana" w:cs="Courier New"/>
          <w:b/>
          <w:color w:val="000000"/>
          <w:sz w:val="18"/>
          <w:szCs w:val="18"/>
        </w:rPr>
        <w:t xml:space="preserve">. </w:t>
      </w:r>
      <w:bookmarkStart w:id="10" w:name="__DdeLink__2843_693126787"/>
      <w:bookmarkStart w:id="11" w:name="__DdeLink__2856_693126787"/>
      <w:r w:rsidRPr="007D207D">
        <w:rPr>
          <w:rFonts w:ascii="Verdana" w:hAnsi="Verdana" w:cs="Courier New"/>
          <w:b/>
          <w:bCs/>
          <w:color w:val="000000"/>
          <w:sz w:val="18"/>
          <w:szCs w:val="18"/>
        </w:rPr>
        <w:t>INSTALACJA OBWODÓW OŚWIETLENIOWYC</w:t>
      </w:r>
      <w:bookmarkEnd w:id="10"/>
      <w:r w:rsidRPr="007D207D">
        <w:rPr>
          <w:rFonts w:ascii="Verdana" w:hAnsi="Verdana" w:cs="Courier New"/>
          <w:b/>
          <w:bCs/>
          <w:color w:val="000000"/>
          <w:sz w:val="18"/>
          <w:szCs w:val="18"/>
        </w:rPr>
        <w:t>H</w:t>
      </w:r>
      <w:bookmarkEnd w:id="9"/>
      <w:bookmarkEnd w:id="11"/>
    </w:p>
    <w:p w14:paraId="4BB0B921" w14:textId="462B7891"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 xml:space="preserve">Poszczególne obwody instalacji oświetleniowej powinny być zasilone jednofazowo z tablic strefowych (obciążenia zrównoważone na wszystkich fazach). Instalacje należy układać lub prowadzić </w:t>
      </w:r>
      <w:r>
        <w:rPr>
          <w:rFonts w:ascii="Verdana" w:hAnsi="Verdana"/>
          <w:color w:val="000000"/>
          <w:sz w:val="18"/>
          <w:szCs w:val="18"/>
        </w:rPr>
        <w:br/>
      </w:r>
      <w:r w:rsidRPr="007D207D">
        <w:rPr>
          <w:rFonts w:ascii="Verdana" w:hAnsi="Verdana"/>
          <w:color w:val="000000"/>
          <w:sz w:val="18"/>
          <w:szCs w:val="18"/>
        </w:rPr>
        <w:t xml:space="preserve">w korytach instalacyjnych i </w:t>
      </w:r>
      <w:proofErr w:type="spellStart"/>
      <w:r w:rsidRPr="007D207D">
        <w:rPr>
          <w:rFonts w:ascii="Verdana" w:hAnsi="Verdana"/>
          <w:color w:val="000000"/>
          <w:sz w:val="18"/>
          <w:szCs w:val="18"/>
        </w:rPr>
        <w:t>peszlach</w:t>
      </w:r>
      <w:proofErr w:type="spellEnd"/>
      <w:r w:rsidRPr="007D207D">
        <w:rPr>
          <w:rFonts w:ascii="Verdana" w:hAnsi="Verdana"/>
          <w:color w:val="000000"/>
          <w:sz w:val="18"/>
          <w:szCs w:val="18"/>
        </w:rPr>
        <w:t xml:space="preserve">, również z wykorzystaniem sufitu podwieszanego (umieszczone bez kolizji w przestrzeni sufitu podwieszanego). </w:t>
      </w:r>
    </w:p>
    <w:p w14:paraId="71974F0F" w14:textId="77777777" w:rsidR="00CC33F4" w:rsidRDefault="00CC33F4" w:rsidP="00CC33F4">
      <w:pPr>
        <w:tabs>
          <w:tab w:val="num" w:pos="0"/>
        </w:tabs>
        <w:spacing w:line="276" w:lineRule="auto"/>
        <w:ind w:right="25"/>
        <w:jc w:val="both"/>
        <w:rPr>
          <w:rFonts w:ascii="Verdana" w:hAnsi="Verdana"/>
          <w:color w:val="000000"/>
          <w:sz w:val="18"/>
          <w:szCs w:val="18"/>
        </w:rPr>
      </w:pPr>
    </w:p>
    <w:p w14:paraId="55BAF403" w14:textId="347B19BE"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Łączniki obwodów oświetleniowych należy umieszczać obok drzwi (od strony klamki) w taki sposób, aby środek najwyżej połączonego łącznika znajdował się na wysokości 140 cm ponad gotową powierzchnią podłogi. Łączniki instalowane ponad powierzchniami pracy powinny być umieszczane w poziomej strefie instalacyjnej na zalecanej wysokości 105 cm ponad gotową powierzchnią podłogi.</w:t>
      </w:r>
    </w:p>
    <w:p w14:paraId="00300CCE" w14:textId="0CBD1A16" w:rsidR="00CC33F4" w:rsidRPr="007D207D" w:rsidRDefault="00CC33F4" w:rsidP="00CC33F4">
      <w:pPr>
        <w:spacing w:line="276" w:lineRule="auto"/>
        <w:ind w:right="25"/>
        <w:jc w:val="both"/>
        <w:rPr>
          <w:rFonts w:ascii="Verdana" w:hAnsi="Verdana"/>
          <w:color w:val="000000"/>
          <w:sz w:val="18"/>
          <w:szCs w:val="18"/>
        </w:rPr>
      </w:pPr>
      <w:r w:rsidRPr="007D207D">
        <w:rPr>
          <w:rFonts w:ascii="Verdana" w:hAnsi="Verdana"/>
          <w:color w:val="000000"/>
          <w:sz w:val="18"/>
          <w:szCs w:val="18"/>
        </w:rPr>
        <w:t xml:space="preserve">W pomieszczeniach suchych należy stosować osprzęt oświetleniowy o stopniu ochrony IP20, </w:t>
      </w:r>
      <w:r>
        <w:rPr>
          <w:rFonts w:ascii="Verdana" w:hAnsi="Verdana"/>
          <w:color w:val="000000"/>
          <w:sz w:val="18"/>
          <w:szCs w:val="18"/>
        </w:rPr>
        <w:br/>
      </w:r>
      <w:r w:rsidRPr="007D207D">
        <w:rPr>
          <w:rFonts w:ascii="Verdana" w:hAnsi="Verdana"/>
          <w:color w:val="000000"/>
          <w:sz w:val="18"/>
          <w:szCs w:val="18"/>
        </w:rPr>
        <w:t>w pomieszczeniach wilgotnych lub przejściowo wilgotnych osprzęt o stopniu ochrony IP44. Obwody instalacji oświetlenia należy wykonać przy zastosowaniu przewodów elektroenergetycz</w:t>
      </w:r>
      <w:bookmarkStart w:id="12" w:name="__DdeLink__2853_693126787"/>
      <w:r w:rsidRPr="007D207D">
        <w:rPr>
          <w:rFonts w:ascii="Verdana" w:hAnsi="Verdana"/>
          <w:color w:val="000000"/>
          <w:sz w:val="18"/>
          <w:szCs w:val="18"/>
        </w:rPr>
        <w:t>nych typu:</w:t>
      </w:r>
      <w:bookmarkEnd w:id="12"/>
      <w:r w:rsidRPr="007D207D">
        <w:rPr>
          <w:rFonts w:ascii="Verdana" w:hAnsi="Verdana"/>
          <w:color w:val="000000"/>
          <w:sz w:val="18"/>
          <w:szCs w:val="18"/>
        </w:rPr>
        <w:t xml:space="preserve"> </w:t>
      </w:r>
    </w:p>
    <w:p w14:paraId="4E67FC06" w14:textId="77777777" w:rsidR="00CC33F4" w:rsidRPr="007D207D" w:rsidRDefault="00CC33F4" w:rsidP="00CC33F4">
      <w:pPr>
        <w:numPr>
          <w:ilvl w:val="0"/>
          <w:numId w:val="6"/>
        </w:numPr>
        <w:tabs>
          <w:tab w:val="clear" w:pos="720"/>
        </w:tabs>
        <w:spacing w:line="276" w:lineRule="auto"/>
        <w:ind w:left="567" w:right="25" w:hanging="284"/>
        <w:jc w:val="both"/>
        <w:rPr>
          <w:rFonts w:ascii="Verdana" w:hAnsi="Verdana"/>
          <w:sz w:val="18"/>
          <w:szCs w:val="18"/>
        </w:rPr>
      </w:pPr>
      <w:r w:rsidRPr="007D207D">
        <w:rPr>
          <w:rFonts w:ascii="Verdana" w:hAnsi="Verdana"/>
          <w:color w:val="000000"/>
          <w:sz w:val="18"/>
          <w:szCs w:val="18"/>
        </w:rPr>
        <w:t>3x1,5 mm</w:t>
      </w:r>
      <w:r w:rsidRPr="007D207D">
        <w:rPr>
          <w:rFonts w:ascii="Verdana" w:hAnsi="Verdana"/>
          <w:color w:val="000000"/>
          <w:sz w:val="18"/>
          <w:szCs w:val="18"/>
          <w:vertAlign w:val="superscript"/>
        </w:rPr>
        <w:t>2</w:t>
      </w:r>
      <w:r w:rsidRPr="007D207D">
        <w:rPr>
          <w:rFonts w:ascii="Verdana" w:hAnsi="Verdana"/>
          <w:color w:val="000000"/>
          <w:sz w:val="18"/>
          <w:szCs w:val="18"/>
        </w:rPr>
        <w:t xml:space="preserve"> typu N2XH – zasilanie opraw oświetleniowych;</w:t>
      </w:r>
    </w:p>
    <w:p w14:paraId="063C4D13" w14:textId="77777777" w:rsidR="00CC33F4" w:rsidRPr="007D207D" w:rsidRDefault="00CC33F4" w:rsidP="00CC33F4">
      <w:pPr>
        <w:numPr>
          <w:ilvl w:val="0"/>
          <w:numId w:val="6"/>
        </w:numPr>
        <w:tabs>
          <w:tab w:val="clear" w:pos="720"/>
        </w:tabs>
        <w:spacing w:line="276" w:lineRule="auto"/>
        <w:ind w:left="567" w:right="25" w:hanging="284"/>
        <w:jc w:val="both"/>
        <w:rPr>
          <w:rFonts w:ascii="Verdana" w:hAnsi="Verdana"/>
          <w:sz w:val="18"/>
          <w:szCs w:val="18"/>
        </w:rPr>
      </w:pPr>
      <w:r w:rsidRPr="007D207D">
        <w:rPr>
          <w:rFonts w:ascii="Verdana" w:hAnsi="Verdana"/>
          <w:color w:val="000000"/>
          <w:sz w:val="18"/>
          <w:szCs w:val="18"/>
        </w:rPr>
        <w:t>2x1,5 mm</w:t>
      </w:r>
      <w:r w:rsidRPr="007D207D">
        <w:rPr>
          <w:rFonts w:ascii="Verdana" w:hAnsi="Verdana"/>
          <w:color w:val="000000"/>
          <w:sz w:val="18"/>
          <w:szCs w:val="18"/>
          <w:vertAlign w:val="superscript"/>
        </w:rPr>
        <w:t>2</w:t>
      </w:r>
      <w:r w:rsidRPr="007D207D">
        <w:rPr>
          <w:rFonts w:ascii="Verdana" w:hAnsi="Verdana"/>
          <w:color w:val="000000"/>
          <w:sz w:val="18"/>
          <w:szCs w:val="18"/>
        </w:rPr>
        <w:t xml:space="preserve"> typu N2XH – przewód sterujący, rozłączany na odcinku łącznik oświetleniowy – oprawa oświetleniowa.</w:t>
      </w:r>
    </w:p>
    <w:p w14:paraId="52657A10" w14:textId="77777777" w:rsidR="00CC33F4" w:rsidRPr="007D207D" w:rsidRDefault="00CC33F4" w:rsidP="00CC33F4">
      <w:pPr>
        <w:keepNext/>
        <w:numPr>
          <w:ilvl w:val="0"/>
          <w:numId w:val="2"/>
        </w:numPr>
        <w:spacing w:line="276" w:lineRule="auto"/>
        <w:ind w:left="0" w:right="25" w:firstLine="0"/>
        <w:jc w:val="both"/>
        <w:outlineLvl w:val="1"/>
        <w:rPr>
          <w:rFonts w:ascii="Verdana" w:hAnsi="Verdana"/>
          <w:b/>
          <w:sz w:val="18"/>
          <w:szCs w:val="18"/>
        </w:rPr>
      </w:pPr>
    </w:p>
    <w:p w14:paraId="1A089F71" w14:textId="77777777"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bookmarkStart w:id="13" w:name="__RefHeading___Toc1746_2820511405"/>
      <w:bookmarkStart w:id="14" w:name="__DdeLink__2843_6931267871"/>
      <w:bookmarkStart w:id="15" w:name="_Toc97411767"/>
      <w:bookmarkStart w:id="16" w:name="__DdeLink__2902_693126787"/>
      <w:bookmarkEnd w:id="13"/>
      <w:r w:rsidRPr="007D207D">
        <w:rPr>
          <w:rFonts w:ascii="Verdana" w:hAnsi="Verdana" w:cs="Courier New"/>
          <w:b/>
          <w:sz w:val="18"/>
          <w:szCs w:val="18"/>
        </w:rPr>
        <w:t xml:space="preserve">INSTALACJA OBWODÓW </w:t>
      </w:r>
      <w:bookmarkEnd w:id="14"/>
      <w:r w:rsidRPr="007D207D">
        <w:rPr>
          <w:rFonts w:ascii="Verdana" w:hAnsi="Verdana" w:cs="Courier New"/>
          <w:b/>
          <w:sz w:val="18"/>
          <w:szCs w:val="18"/>
        </w:rPr>
        <w:t>GNIAZD WTYCZKOWYCH</w:t>
      </w:r>
      <w:bookmarkEnd w:id="15"/>
      <w:bookmarkEnd w:id="16"/>
    </w:p>
    <w:p w14:paraId="57D96D8B" w14:textId="502609F8"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Poszczególne obwody instalacji gniazd wtyczkowych należy zasilić jednofazowo, jednostronnie z rozdzielnicy obiektowej dedykowan</w:t>
      </w:r>
      <w:r w:rsidR="00B133C6">
        <w:rPr>
          <w:rFonts w:ascii="Verdana" w:hAnsi="Verdana"/>
          <w:color w:val="000000"/>
          <w:sz w:val="18"/>
          <w:szCs w:val="18"/>
        </w:rPr>
        <w:t>ej</w:t>
      </w:r>
      <w:r w:rsidRPr="007D207D">
        <w:rPr>
          <w:rFonts w:ascii="Verdana" w:hAnsi="Verdana"/>
          <w:color w:val="000000"/>
          <w:sz w:val="18"/>
          <w:szCs w:val="18"/>
        </w:rPr>
        <w:t xml:space="preserve"> do obsługi danego obszaru obciążenia są zrównoważone na wszystkich fazach.</w:t>
      </w:r>
      <w:r w:rsidRPr="007D207D">
        <w:rPr>
          <w:rFonts w:ascii="Verdana" w:hAnsi="Verdana"/>
          <w:color w:val="000000"/>
          <w:sz w:val="18"/>
          <w:szCs w:val="18"/>
        </w:rPr>
        <w:br/>
      </w:r>
    </w:p>
    <w:p w14:paraId="4B4C4FE0" w14:textId="77777777"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Instalacje należy układać lub prowadzić:</w:t>
      </w:r>
    </w:p>
    <w:p w14:paraId="49A1312C" w14:textId="6467FC26" w:rsidR="00CC33F4" w:rsidRPr="007D207D" w:rsidRDefault="00B133C6" w:rsidP="00CC33F4">
      <w:pPr>
        <w:numPr>
          <w:ilvl w:val="0"/>
          <w:numId w:val="8"/>
        </w:numPr>
        <w:tabs>
          <w:tab w:val="clear" w:pos="720"/>
        </w:tabs>
        <w:spacing w:line="276" w:lineRule="auto"/>
        <w:ind w:left="567" w:right="25" w:hanging="284"/>
        <w:jc w:val="both"/>
        <w:rPr>
          <w:rFonts w:ascii="Verdana" w:hAnsi="Verdana"/>
          <w:sz w:val="18"/>
          <w:szCs w:val="18"/>
        </w:rPr>
      </w:pPr>
      <w:r>
        <w:rPr>
          <w:rFonts w:ascii="Verdana" w:hAnsi="Verdana"/>
          <w:color w:val="000000"/>
          <w:sz w:val="18"/>
          <w:szCs w:val="18"/>
        </w:rPr>
        <w:t>Pod tynkiem</w:t>
      </w:r>
      <w:r w:rsidR="00CC33F4" w:rsidRPr="007D207D">
        <w:rPr>
          <w:rFonts w:ascii="Verdana" w:hAnsi="Verdana"/>
          <w:color w:val="000000"/>
          <w:sz w:val="18"/>
          <w:szCs w:val="18"/>
        </w:rPr>
        <w:t>. Zalecane trasy układania podtynkowego przewodów elektroenergetycznych na ścianach powinny się znajdować:</w:t>
      </w:r>
    </w:p>
    <w:p w14:paraId="47E834EF" w14:textId="77777777" w:rsidR="00CC33F4" w:rsidRPr="007D207D" w:rsidRDefault="00CC33F4" w:rsidP="00CC33F4">
      <w:pPr>
        <w:numPr>
          <w:ilvl w:val="0"/>
          <w:numId w:val="9"/>
        </w:numPr>
        <w:tabs>
          <w:tab w:val="clear" w:pos="0"/>
        </w:tabs>
        <w:spacing w:line="276" w:lineRule="auto"/>
        <w:ind w:left="993" w:right="25" w:hanging="284"/>
        <w:jc w:val="both"/>
        <w:rPr>
          <w:rFonts w:ascii="Verdana" w:hAnsi="Verdana"/>
          <w:sz w:val="18"/>
          <w:szCs w:val="18"/>
        </w:rPr>
      </w:pPr>
      <w:r w:rsidRPr="007D207D">
        <w:rPr>
          <w:rFonts w:ascii="Verdana" w:hAnsi="Verdana"/>
          <w:color w:val="000000"/>
          <w:sz w:val="18"/>
          <w:szCs w:val="18"/>
        </w:rPr>
        <w:t>Dla tras poziomych – 30 cm poniżej gotowej powierzchni stropu;</w:t>
      </w:r>
    </w:p>
    <w:p w14:paraId="32438765" w14:textId="77777777" w:rsidR="00CC33F4" w:rsidRPr="007D207D" w:rsidRDefault="00CC33F4" w:rsidP="00CC33F4">
      <w:pPr>
        <w:numPr>
          <w:ilvl w:val="0"/>
          <w:numId w:val="9"/>
        </w:numPr>
        <w:tabs>
          <w:tab w:val="clear" w:pos="0"/>
        </w:tabs>
        <w:spacing w:line="276" w:lineRule="auto"/>
        <w:ind w:left="993" w:right="25" w:hanging="284"/>
        <w:jc w:val="both"/>
        <w:rPr>
          <w:rFonts w:ascii="Verdana" w:hAnsi="Verdana"/>
          <w:sz w:val="18"/>
          <w:szCs w:val="18"/>
        </w:rPr>
      </w:pPr>
      <w:r w:rsidRPr="007D207D">
        <w:rPr>
          <w:rFonts w:ascii="Verdana" w:hAnsi="Verdana"/>
          <w:color w:val="000000"/>
          <w:sz w:val="18"/>
          <w:szCs w:val="18"/>
        </w:rPr>
        <w:t>Dla tras pionowych – 15 cm od ościeżnic bądź linii zbiegu ścian;</w:t>
      </w:r>
    </w:p>
    <w:p w14:paraId="63AE0DF9" w14:textId="77777777"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Gniazda wtyczkowe należy instalować:</w:t>
      </w:r>
    </w:p>
    <w:p w14:paraId="275AF2F5" w14:textId="77777777" w:rsidR="00CC33F4" w:rsidRPr="007D207D" w:rsidRDefault="00CC33F4" w:rsidP="00CC33F4">
      <w:pPr>
        <w:numPr>
          <w:ilvl w:val="0"/>
          <w:numId w:val="10"/>
        </w:numPr>
        <w:tabs>
          <w:tab w:val="clear" w:pos="720"/>
        </w:tabs>
        <w:spacing w:line="276" w:lineRule="auto"/>
        <w:ind w:left="567" w:right="25" w:hanging="284"/>
        <w:jc w:val="both"/>
        <w:rPr>
          <w:rFonts w:ascii="Verdana" w:hAnsi="Verdana"/>
          <w:sz w:val="18"/>
          <w:szCs w:val="18"/>
        </w:rPr>
      </w:pPr>
      <w:r w:rsidRPr="007D207D">
        <w:rPr>
          <w:rFonts w:ascii="Verdana" w:hAnsi="Verdana"/>
          <w:color w:val="000000"/>
          <w:sz w:val="18"/>
          <w:szCs w:val="18"/>
        </w:rPr>
        <w:t>W taki sposób, aby środek najwyżej położonego gniazda znajdował się nie wyżej niż 30 cm ponad gotową powierzchnią podłogi w przypadku pomieszczeń biurowych;</w:t>
      </w:r>
    </w:p>
    <w:p w14:paraId="67277140" w14:textId="77777777" w:rsidR="00CC33F4" w:rsidRPr="007D207D" w:rsidRDefault="00CC33F4" w:rsidP="00CC33F4">
      <w:pPr>
        <w:numPr>
          <w:ilvl w:val="0"/>
          <w:numId w:val="10"/>
        </w:numPr>
        <w:tabs>
          <w:tab w:val="clear" w:pos="720"/>
        </w:tabs>
        <w:spacing w:line="276" w:lineRule="auto"/>
        <w:ind w:left="567" w:right="25" w:hanging="284"/>
        <w:jc w:val="both"/>
        <w:rPr>
          <w:rFonts w:ascii="Verdana" w:hAnsi="Verdana"/>
          <w:sz w:val="18"/>
          <w:szCs w:val="18"/>
        </w:rPr>
      </w:pPr>
      <w:r w:rsidRPr="007D207D">
        <w:rPr>
          <w:rFonts w:ascii="Verdana" w:hAnsi="Verdana"/>
          <w:sz w:val="18"/>
          <w:szCs w:val="18"/>
        </w:rPr>
        <w:t>Ponad powierzchniami pracy na wysokości 120 cm ponad gotową powierzchnią podłogi.</w:t>
      </w:r>
    </w:p>
    <w:p w14:paraId="12B333D7" w14:textId="77777777" w:rsidR="00CC33F4" w:rsidRDefault="00CC33F4" w:rsidP="00CC33F4">
      <w:pPr>
        <w:tabs>
          <w:tab w:val="num" w:pos="0"/>
        </w:tabs>
        <w:spacing w:line="276" w:lineRule="auto"/>
        <w:ind w:right="25"/>
        <w:jc w:val="both"/>
        <w:rPr>
          <w:rFonts w:ascii="Verdana" w:hAnsi="Verdana"/>
          <w:sz w:val="18"/>
          <w:szCs w:val="18"/>
        </w:rPr>
      </w:pPr>
    </w:p>
    <w:p w14:paraId="6F3092B1" w14:textId="5F7E7DF6"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sz w:val="18"/>
          <w:szCs w:val="18"/>
        </w:rPr>
        <w:t xml:space="preserve">W pomieszczeniach wilgotnych lub przejściowo wilgotnych należy stosować osprzęt elektroinstalacyjny o stopniu ochrony IP44. Każdy z obwodów gniazd wtyczkowych ma zostać zabezpieczony wyłącznikiem różnicowoprądowym, wysokoczułym o prądzie znamionowym różnicowym równym 30 </w:t>
      </w:r>
      <w:proofErr w:type="spellStart"/>
      <w:r w:rsidRPr="007D207D">
        <w:rPr>
          <w:rFonts w:ascii="Verdana" w:hAnsi="Verdana"/>
          <w:sz w:val="18"/>
          <w:szCs w:val="18"/>
        </w:rPr>
        <w:t>mA</w:t>
      </w:r>
      <w:proofErr w:type="spellEnd"/>
      <w:r w:rsidRPr="007D207D">
        <w:rPr>
          <w:rFonts w:ascii="Verdana" w:hAnsi="Verdana"/>
          <w:sz w:val="18"/>
          <w:szCs w:val="18"/>
        </w:rPr>
        <w:t xml:space="preserve">, </w:t>
      </w:r>
      <w:proofErr w:type="spellStart"/>
      <w:r w:rsidRPr="007D207D">
        <w:rPr>
          <w:rFonts w:ascii="Verdana" w:hAnsi="Verdana"/>
          <w:sz w:val="18"/>
          <w:szCs w:val="18"/>
        </w:rPr>
        <w:t>oprzewodowanie</w:t>
      </w:r>
      <w:proofErr w:type="spellEnd"/>
      <w:r w:rsidRPr="007D207D">
        <w:rPr>
          <w:rFonts w:ascii="Verdana" w:hAnsi="Verdana"/>
          <w:sz w:val="18"/>
          <w:szCs w:val="18"/>
        </w:rPr>
        <w:t xml:space="preserve"> należy wykonać przy zastosowaniu przewodów elektroenergetycznych </w:t>
      </w:r>
      <w:r w:rsidRPr="007D207D">
        <w:rPr>
          <w:rFonts w:ascii="Verdana" w:hAnsi="Verdana"/>
          <w:color w:val="000000"/>
          <w:sz w:val="18"/>
          <w:szCs w:val="18"/>
        </w:rPr>
        <w:t>typu N2XH</w:t>
      </w:r>
      <w:r w:rsidRPr="007D207D">
        <w:rPr>
          <w:rFonts w:ascii="Verdana" w:hAnsi="Verdana"/>
          <w:sz w:val="18"/>
          <w:szCs w:val="18"/>
        </w:rPr>
        <w:t xml:space="preserve"> 3x2,5 mm</w:t>
      </w:r>
      <w:r w:rsidRPr="007D207D">
        <w:rPr>
          <w:rFonts w:ascii="Verdana" w:hAnsi="Verdana"/>
          <w:sz w:val="18"/>
          <w:szCs w:val="18"/>
          <w:vertAlign w:val="superscript"/>
        </w:rPr>
        <w:t>2</w:t>
      </w:r>
      <w:r w:rsidRPr="007D207D">
        <w:rPr>
          <w:rFonts w:ascii="Verdana" w:hAnsi="Verdana"/>
          <w:sz w:val="18"/>
          <w:szCs w:val="18"/>
        </w:rPr>
        <w:t>.</w:t>
      </w:r>
    </w:p>
    <w:p w14:paraId="35788677" w14:textId="77777777" w:rsidR="00CC33F4" w:rsidRPr="007D207D" w:rsidRDefault="00CC33F4" w:rsidP="00CC33F4">
      <w:pPr>
        <w:tabs>
          <w:tab w:val="num" w:pos="0"/>
        </w:tabs>
        <w:spacing w:line="276" w:lineRule="auto"/>
        <w:ind w:right="25"/>
        <w:jc w:val="both"/>
        <w:rPr>
          <w:rFonts w:ascii="Verdana" w:hAnsi="Verdana"/>
          <w:sz w:val="18"/>
          <w:szCs w:val="18"/>
        </w:rPr>
      </w:pPr>
      <w:bookmarkStart w:id="17" w:name="__RefHeading__3518_693126787"/>
      <w:bookmarkEnd w:id="17"/>
    </w:p>
    <w:p w14:paraId="6BCB47F0" w14:textId="77777777"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bookmarkStart w:id="18" w:name="__RefHeading___Toc1748_2820511405"/>
      <w:bookmarkStart w:id="19" w:name="__DdeLink__3201_693126787"/>
      <w:bookmarkStart w:id="20" w:name="__DdeLink__3204_693126787"/>
      <w:bookmarkStart w:id="21" w:name="_Toc97411768"/>
      <w:bookmarkEnd w:id="18"/>
      <w:r w:rsidRPr="007D207D">
        <w:rPr>
          <w:rFonts w:ascii="Verdana" w:hAnsi="Verdana" w:cs="Courier New"/>
          <w:b/>
          <w:sz w:val="18"/>
          <w:szCs w:val="18"/>
        </w:rPr>
        <w:t>OCHRONA PRZECIWPRZEPIĘCIOW</w:t>
      </w:r>
      <w:bookmarkEnd w:id="19"/>
      <w:r w:rsidRPr="007D207D">
        <w:rPr>
          <w:rFonts w:ascii="Verdana" w:hAnsi="Verdana" w:cs="Courier New"/>
          <w:b/>
          <w:sz w:val="18"/>
          <w:szCs w:val="18"/>
        </w:rPr>
        <w:t>A</w:t>
      </w:r>
      <w:bookmarkEnd w:id="20"/>
      <w:r w:rsidRPr="007D207D">
        <w:rPr>
          <w:rFonts w:ascii="Verdana" w:hAnsi="Verdana" w:cs="Courier New"/>
          <w:b/>
          <w:sz w:val="18"/>
          <w:szCs w:val="18"/>
        </w:rPr>
        <w:t xml:space="preserve"> I EKWIPOTENCJALIZACJA</w:t>
      </w:r>
      <w:bookmarkEnd w:id="21"/>
    </w:p>
    <w:p w14:paraId="7093B1AE" w14:textId="7FD8810A"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 xml:space="preserve">W obiekcie zastosować system ochrony przeciwprzepięciowej w celu uniknięcia niebezpiecznych przepięć w instalacji elektroenergetycznej wywołanych wyładowaniami atmosferycznymi </w:t>
      </w:r>
      <w:r>
        <w:rPr>
          <w:rFonts w:ascii="Verdana" w:hAnsi="Verdana"/>
          <w:color w:val="000000"/>
          <w:sz w:val="18"/>
          <w:szCs w:val="18"/>
        </w:rPr>
        <w:br/>
      </w:r>
      <w:r w:rsidRPr="007D207D">
        <w:rPr>
          <w:rFonts w:ascii="Verdana" w:hAnsi="Verdana"/>
          <w:color w:val="000000"/>
          <w:sz w:val="18"/>
          <w:szCs w:val="18"/>
        </w:rPr>
        <w:t xml:space="preserve">lub czynnościami łączeniowymi, które mogą uszkodzić lub zakłócić prawidłową pracę urządzeń elektrycznych. </w:t>
      </w:r>
    </w:p>
    <w:p w14:paraId="0C9F59D7" w14:textId="77777777" w:rsidR="00CC33F4" w:rsidRDefault="00CC33F4" w:rsidP="00CC33F4">
      <w:pPr>
        <w:tabs>
          <w:tab w:val="num" w:pos="0"/>
        </w:tabs>
        <w:spacing w:line="276" w:lineRule="auto"/>
        <w:ind w:right="25"/>
        <w:jc w:val="both"/>
        <w:rPr>
          <w:rFonts w:ascii="Verdana" w:hAnsi="Verdana"/>
          <w:color w:val="000000"/>
          <w:sz w:val="18"/>
          <w:szCs w:val="18"/>
        </w:rPr>
      </w:pPr>
    </w:p>
    <w:p w14:paraId="6D1444D6" w14:textId="2FDB56D8"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 xml:space="preserve">Ograniczniki przepięć klasy T1 są przeznaczone do stosowania jako pierwszy stopień ochrony </w:t>
      </w:r>
      <w:r w:rsidRPr="007D207D">
        <w:rPr>
          <w:rFonts w:ascii="Verdana" w:hAnsi="Verdana"/>
          <w:color w:val="000000"/>
          <w:sz w:val="18"/>
          <w:szCs w:val="18"/>
        </w:rPr>
        <w:br/>
        <w:t xml:space="preserve">i wyrównywania potencjałów w obiekcie przed skutkami bezpośredniego uderzenia pioruna (redukcja przepięć do poziomu &lt; 4 </w:t>
      </w:r>
      <w:proofErr w:type="spellStart"/>
      <w:r w:rsidRPr="007D207D">
        <w:rPr>
          <w:rFonts w:ascii="Verdana" w:hAnsi="Verdana"/>
          <w:color w:val="000000"/>
          <w:sz w:val="18"/>
          <w:szCs w:val="18"/>
        </w:rPr>
        <w:t>kV</w:t>
      </w:r>
      <w:proofErr w:type="spellEnd"/>
      <w:r w:rsidRPr="007D207D">
        <w:rPr>
          <w:rFonts w:ascii="Verdana" w:hAnsi="Verdana"/>
          <w:color w:val="000000"/>
          <w:sz w:val="18"/>
          <w:szCs w:val="18"/>
        </w:rPr>
        <w:t xml:space="preserve">). Aparaty tego typu należy instalować w miejscu wprowadzenia instalacji elektrycznej do budynku (złącza kablowe, rozdzielnie główne budynków). </w:t>
      </w:r>
    </w:p>
    <w:p w14:paraId="3DA1C3D9" w14:textId="77777777"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 xml:space="preserve">Ograniczniki przepięć klasy T2 stosowane są jako drugi stopień ochrony w obiekcie chronionym, </w:t>
      </w:r>
      <w:r w:rsidRPr="007D207D">
        <w:rPr>
          <w:rFonts w:ascii="Verdana" w:hAnsi="Verdana"/>
          <w:color w:val="000000"/>
          <w:sz w:val="18"/>
          <w:szCs w:val="18"/>
        </w:rPr>
        <w:br/>
        <w:t xml:space="preserve">w celu ograniczenia przepięć do wartości wytrzymywanych przez większość urządzeń elektrycznych (redukcja przepięć do poziomu &lt; 1,5 </w:t>
      </w:r>
      <w:proofErr w:type="spellStart"/>
      <w:r w:rsidRPr="007D207D">
        <w:rPr>
          <w:rFonts w:ascii="Verdana" w:hAnsi="Verdana"/>
          <w:color w:val="000000"/>
          <w:sz w:val="18"/>
          <w:szCs w:val="18"/>
        </w:rPr>
        <w:t>kV</w:t>
      </w:r>
      <w:proofErr w:type="spellEnd"/>
      <w:r w:rsidRPr="007D207D">
        <w:rPr>
          <w:rFonts w:ascii="Verdana" w:hAnsi="Verdana"/>
          <w:color w:val="000000"/>
          <w:sz w:val="18"/>
          <w:szCs w:val="18"/>
        </w:rPr>
        <w:t xml:space="preserve">). Prawidłowe miejsce zainstalowania tych aparatów </w:t>
      </w:r>
      <w:r w:rsidRPr="007D207D">
        <w:rPr>
          <w:rFonts w:ascii="Verdana" w:hAnsi="Verdana"/>
          <w:color w:val="000000"/>
          <w:sz w:val="18"/>
          <w:szCs w:val="18"/>
        </w:rPr>
        <w:br/>
        <w:t>to rozdzielnice piętrowe lub oddziałowe.</w:t>
      </w:r>
    </w:p>
    <w:p w14:paraId="18CC9574" w14:textId="77777777" w:rsidR="00CC33F4" w:rsidRDefault="00CC33F4" w:rsidP="00CC33F4">
      <w:pPr>
        <w:tabs>
          <w:tab w:val="num" w:pos="0"/>
        </w:tabs>
        <w:spacing w:line="276" w:lineRule="auto"/>
        <w:ind w:right="25"/>
        <w:jc w:val="both"/>
        <w:rPr>
          <w:rFonts w:ascii="Verdana" w:hAnsi="Verdana"/>
          <w:color w:val="000000"/>
          <w:sz w:val="18"/>
          <w:szCs w:val="18"/>
        </w:rPr>
      </w:pPr>
    </w:p>
    <w:p w14:paraId="01E32A49" w14:textId="58463784" w:rsidR="00CC33F4" w:rsidRPr="007D207D" w:rsidRDefault="00CC33F4" w:rsidP="00CC33F4">
      <w:pPr>
        <w:tabs>
          <w:tab w:val="num" w:pos="0"/>
        </w:tabs>
        <w:spacing w:line="276" w:lineRule="auto"/>
        <w:ind w:right="25"/>
        <w:jc w:val="both"/>
        <w:rPr>
          <w:rFonts w:ascii="Verdana" w:hAnsi="Verdana"/>
          <w:sz w:val="18"/>
          <w:szCs w:val="18"/>
        </w:rPr>
      </w:pPr>
      <w:r w:rsidRPr="007D207D">
        <w:rPr>
          <w:rFonts w:ascii="Verdana" w:hAnsi="Verdana"/>
          <w:color w:val="000000"/>
          <w:sz w:val="18"/>
          <w:szCs w:val="18"/>
        </w:rPr>
        <w:t>Przewidziano zastosowanie ochronników:</w:t>
      </w:r>
      <w:r w:rsidRPr="007D207D">
        <w:rPr>
          <w:rFonts w:ascii="Verdana" w:hAnsi="Verdana"/>
          <w:sz w:val="18"/>
          <w:szCs w:val="18"/>
        </w:rPr>
        <w:t xml:space="preserve"> </w:t>
      </w:r>
      <w:proofErr w:type="spellStart"/>
      <w:r w:rsidRPr="007D207D">
        <w:rPr>
          <w:rFonts w:ascii="Verdana" w:hAnsi="Verdana"/>
          <w:sz w:val="18"/>
          <w:szCs w:val="18"/>
        </w:rPr>
        <w:t>w</w:t>
      </w:r>
      <w:r w:rsidRPr="007D207D">
        <w:rPr>
          <w:rFonts w:ascii="Verdana" w:hAnsi="Verdana"/>
          <w:color w:val="000000"/>
          <w:sz w:val="18"/>
          <w:szCs w:val="18"/>
        </w:rPr>
        <w:t>arystorowych</w:t>
      </w:r>
      <w:proofErr w:type="spellEnd"/>
      <w:r w:rsidRPr="007D207D">
        <w:rPr>
          <w:rFonts w:ascii="Verdana" w:hAnsi="Verdana"/>
          <w:color w:val="000000"/>
          <w:sz w:val="18"/>
          <w:szCs w:val="18"/>
        </w:rPr>
        <w:t xml:space="preserve"> typu T1+T2 (</w:t>
      </w:r>
      <w:proofErr w:type="spellStart"/>
      <w:r w:rsidRPr="007D207D">
        <w:rPr>
          <w:rFonts w:ascii="Verdana" w:hAnsi="Verdana"/>
          <w:color w:val="000000"/>
          <w:sz w:val="18"/>
          <w:szCs w:val="18"/>
        </w:rPr>
        <w:t>warystorowo</w:t>
      </w:r>
      <w:proofErr w:type="spellEnd"/>
      <w:r w:rsidRPr="007D207D">
        <w:rPr>
          <w:rFonts w:ascii="Verdana" w:hAnsi="Verdana"/>
          <w:color w:val="000000"/>
          <w:sz w:val="18"/>
          <w:szCs w:val="18"/>
        </w:rPr>
        <w:t xml:space="preserve"> –iskiernikowy) zainstalowanych – w rozdzielnicy głównej</w:t>
      </w:r>
      <w:r w:rsidRPr="007D207D">
        <w:rPr>
          <w:rFonts w:ascii="Verdana" w:hAnsi="Verdana"/>
          <w:sz w:val="18"/>
          <w:szCs w:val="18"/>
        </w:rPr>
        <w:t xml:space="preserve"> oraz </w:t>
      </w:r>
      <w:proofErr w:type="spellStart"/>
      <w:r w:rsidRPr="007D207D">
        <w:rPr>
          <w:rFonts w:ascii="Verdana" w:hAnsi="Verdana"/>
          <w:sz w:val="18"/>
          <w:szCs w:val="18"/>
        </w:rPr>
        <w:t>w</w:t>
      </w:r>
      <w:r w:rsidRPr="007D207D">
        <w:rPr>
          <w:rFonts w:ascii="Verdana" w:hAnsi="Verdana" w:cs="Calibri"/>
          <w:color w:val="000000"/>
          <w:sz w:val="18"/>
          <w:szCs w:val="18"/>
        </w:rPr>
        <w:t>arystorowych</w:t>
      </w:r>
      <w:proofErr w:type="spellEnd"/>
      <w:r w:rsidRPr="007D207D">
        <w:rPr>
          <w:rFonts w:ascii="Verdana" w:hAnsi="Verdana" w:cs="Calibri"/>
          <w:color w:val="000000"/>
          <w:sz w:val="18"/>
          <w:szCs w:val="18"/>
        </w:rPr>
        <w:t xml:space="preserve"> typu T2 we wszystkich rozdzielnicach obiektowych.</w:t>
      </w:r>
    </w:p>
    <w:p w14:paraId="19BDFDFA" w14:textId="77777777" w:rsidR="00CC33F4" w:rsidRPr="00CC33F4" w:rsidRDefault="00CC33F4" w:rsidP="00CC33F4">
      <w:pPr>
        <w:keepNext/>
        <w:numPr>
          <w:ilvl w:val="0"/>
          <w:numId w:val="2"/>
        </w:numPr>
        <w:spacing w:line="276" w:lineRule="auto"/>
        <w:ind w:left="0" w:right="25" w:firstLine="0"/>
        <w:jc w:val="both"/>
        <w:outlineLvl w:val="0"/>
        <w:rPr>
          <w:rFonts w:ascii="Verdana" w:hAnsi="Verdana"/>
          <w:b/>
          <w:sz w:val="18"/>
          <w:szCs w:val="18"/>
        </w:rPr>
      </w:pPr>
      <w:bookmarkStart w:id="22" w:name="__RefHeading___Toc1750_2820511405"/>
      <w:bookmarkStart w:id="23" w:name="_Toc97411769"/>
      <w:bookmarkEnd w:id="22"/>
    </w:p>
    <w:p w14:paraId="02D9ECD1" w14:textId="7B8E3617" w:rsidR="00CC33F4" w:rsidRPr="007D207D" w:rsidRDefault="00CC33F4" w:rsidP="00CC33F4">
      <w:pPr>
        <w:keepNext/>
        <w:numPr>
          <w:ilvl w:val="0"/>
          <w:numId w:val="2"/>
        </w:numPr>
        <w:spacing w:line="276" w:lineRule="auto"/>
        <w:ind w:left="0" w:right="25" w:firstLine="0"/>
        <w:jc w:val="both"/>
        <w:outlineLvl w:val="0"/>
        <w:rPr>
          <w:rFonts w:ascii="Verdana" w:hAnsi="Verdana"/>
          <w:b/>
          <w:sz w:val="18"/>
          <w:szCs w:val="18"/>
        </w:rPr>
      </w:pPr>
      <w:r w:rsidRPr="007D207D">
        <w:rPr>
          <w:rFonts w:ascii="Verdana" w:hAnsi="Verdana" w:cs="Arial Narrow"/>
          <w:b/>
          <w:color w:val="000000"/>
          <w:sz w:val="18"/>
          <w:szCs w:val="18"/>
        </w:rPr>
        <w:t>OKABLOWANIE</w:t>
      </w:r>
      <w:bookmarkEnd w:id="23"/>
    </w:p>
    <w:p w14:paraId="7D5ECD8A" w14:textId="28C52FC5" w:rsidR="00CC33F4" w:rsidRPr="007D207D" w:rsidRDefault="00CC33F4" w:rsidP="00CC33F4">
      <w:pPr>
        <w:tabs>
          <w:tab w:val="num" w:pos="0"/>
        </w:tabs>
        <w:spacing w:line="276" w:lineRule="auto"/>
        <w:ind w:right="25"/>
        <w:jc w:val="both"/>
        <w:textAlignment w:val="baseline"/>
        <w:rPr>
          <w:rFonts w:ascii="Verdana" w:hAnsi="Verdana"/>
          <w:sz w:val="18"/>
          <w:szCs w:val="18"/>
        </w:rPr>
      </w:pPr>
      <w:bookmarkStart w:id="24" w:name="_GoBack2"/>
      <w:bookmarkEnd w:id="24"/>
      <w:r w:rsidRPr="007D207D">
        <w:rPr>
          <w:rFonts w:ascii="Verdana" w:hAnsi="Verdana"/>
          <w:color w:val="000000"/>
          <w:sz w:val="18"/>
          <w:szCs w:val="18"/>
        </w:rPr>
        <w:t xml:space="preserve">Zgodnie z dyrektywą 305/2011 nazywaną w skrócie CPR (z ang. Construction Products </w:t>
      </w:r>
      <w:proofErr w:type="spellStart"/>
      <w:r w:rsidRPr="007D207D">
        <w:rPr>
          <w:rFonts w:ascii="Verdana" w:hAnsi="Verdana"/>
          <w:color w:val="000000"/>
          <w:sz w:val="18"/>
          <w:szCs w:val="18"/>
        </w:rPr>
        <w:t>Regulation</w:t>
      </w:r>
      <w:proofErr w:type="spellEnd"/>
      <w:r w:rsidRPr="007D207D">
        <w:rPr>
          <w:rFonts w:ascii="Verdana" w:hAnsi="Verdana"/>
          <w:color w:val="000000"/>
          <w:sz w:val="18"/>
          <w:szCs w:val="18"/>
        </w:rPr>
        <w:t xml:space="preserve">) dopuszcza się do stosowania w budownictwie wyłącznie okablowanie o określonej klasie relacji </w:t>
      </w:r>
      <w:r>
        <w:rPr>
          <w:rFonts w:ascii="Verdana" w:hAnsi="Verdana"/>
          <w:color w:val="000000"/>
          <w:sz w:val="18"/>
          <w:szCs w:val="18"/>
        </w:rPr>
        <w:br/>
      </w:r>
      <w:r w:rsidRPr="007D207D">
        <w:rPr>
          <w:rFonts w:ascii="Verdana" w:hAnsi="Verdana"/>
          <w:color w:val="000000"/>
          <w:sz w:val="18"/>
          <w:szCs w:val="18"/>
        </w:rPr>
        <w:t>na ogień. Przyjęto klasyfikację zgodnie z normą N-SEP-E-007.</w:t>
      </w:r>
    </w:p>
    <w:p w14:paraId="39002023" w14:textId="77777777" w:rsidR="00CC33F4" w:rsidRPr="007D207D" w:rsidRDefault="00CC33F4" w:rsidP="00CC33F4">
      <w:pPr>
        <w:tabs>
          <w:tab w:val="num" w:pos="0"/>
          <w:tab w:val="left" w:pos="993"/>
        </w:tabs>
        <w:spacing w:line="276" w:lineRule="auto"/>
        <w:ind w:right="25"/>
        <w:jc w:val="both"/>
        <w:textAlignment w:val="baseline"/>
        <w:rPr>
          <w:rFonts w:ascii="Verdana" w:hAnsi="Verdana"/>
          <w:sz w:val="18"/>
          <w:szCs w:val="18"/>
        </w:rPr>
      </w:pPr>
    </w:p>
    <w:p w14:paraId="54DDBE66" w14:textId="77777777" w:rsidR="00CC33F4" w:rsidRPr="007D207D" w:rsidRDefault="00CC33F4" w:rsidP="00CC33F4">
      <w:pPr>
        <w:keepNext/>
        <w:numPr>
          <w:ilvl w:val="0"/>
          <w:numId w:val="2"/>
        </w:numPr>
        <w:spacing w:line="276" w:lineRule="auto"/>
        <w:ind w:left="0" w:right="25" w:firstLine="0"/>
        <w:jc w:val="both"/>
        <w:outlineLvl w:val="0"/>
        <w:rPr>
          <w:rFonts w:ascii="Verdana" w:hAnsi="Verdana" w:cs="Courier New"/>
          <w:b/>
          <w:sz w:val="18"/>
          <w:szCs w:val="18"/>
        </w:rPr>
      </w:pPr>
      <w:bookmarkStart w:id="25" w:name="__RefHeading___Toc1752_2820511405"/>
      <w:bookmarkStart w:id="26" w:name="_Toc97411770"/>
      <w:bookmarkStart w:id="27" w:name="_Toc87960724"/>
      <w:bookmarkStart w:id="28" w:name="_Toc84243385"/>
      <w:bookmarkStart w:id="29" w:name="_Toc83565793"/>
      <w:bookmarkStart w:id="30" w:name="_Toc83459746"/>
      <w:bookmarkStart w:id="31" w:name="_Toc81421120"/>
      <w:bookmarkStart w:id="32" w:name="_Toc81336814"/>
      <w:bookmarkStart w:id="33" w:name="_Toc80621901"/>
      <w:bookmarkStart w:id="34" w:name="_Toc79226921"/>
      <w:bookmarkStart w:id="35" w:name="_Toc76658764"/>
      <w:bookmarkStart w:id="36" w:name="_Toc76140832"/>
      <w:bookmarkStart w:id="37" w:name="_Toc76041908"/>
      <w:bookmarkEnd w:id="25"/>
      <w:r w:rsidRPr="007D207D">
        <w:rPr>
          <w:rFonts w:ascii="Verdana" w:hAnsi="Verdana" w:cs="Courier New"/>
          <w:b/>
          <w:sz w:val="18"/>
          <w:szCs w:val="18"/>
        </w:rPr>
        <w:t>PROWADZENIE PRZEWODÓW INSTALACJI ELEKTRYCZNEJ</w:t>
      </w:r>
      <w:bookmarkEnd w:id="26"/>
      <w:bookmarkEnd w:id="27"/>
      <w:bookmarkEnd w:id="28"/>
      <w:bookmarkEnd w:id="29"/>
      <w:bookmarkEnd w:id="30"/>
      <w:bookmarkEnd w:id="31"/>
      <w:bookmarkEnd w:id="32"/>
      <w:bookmarkEnd w:id="33"/>
      <w:bookmarkEnd w:id="34"/>
      <w:bookmarkEnd w:id="35"/>
      <w:bookmarkEnd w:id="36"/>
      <w:bookmarkEnd w:id="37"/>
      <w:r w:rsidRPr="007D207D">
        <w:rPr>
          <w:rFonts w:ascii="Verdana" w:hAnsi="Verdana" w:cs="Courier New"/>
          <w:b/>
          <w:sz w:val="18"/>
          <w:szCs w:val="18"/>
        </w:rPr>
        <w:t xml:space="preserve"> </w:t>
      </w:r>
    </w:p>
    <w:p w14:paraId="59DE272B" w14:textId="288A8020" w:rsidR="00CC33F4" w:rsidRPr="007D207D" w:rsidRDefault="00CC33F4" w:rsidP="00CC33F4">
      <w:pPr>
        <w:tabs>
          <w:tab w:val="num" w:pos="0"/>
          <w:tab w:val="left" w:pos="680"/>
        </w:tabs>
        <w:spacing w:line="276" w:lineRule="auto"/>
        <w:ind w:right="25"/>
        <w:jc w:val="both"/>
        <w:rPr>
          <w:rFonts w:ascii="Verdana" w:hAnsi="Verdana"/>
          <w:sz w:val="18"/>
          <w:szCs w:val="18"/>
        </w:rPr>
      </w:pPr>
      <w:r w:rsidRPr="007D207D">
        <w:rPr>
          <w:rFonts w:ascii="Verdana" w:hAnsi="Verdana"/>
          <w:sz w:val="18"/>
          <w:szCs w:val="18"/>
        </w:rPr>
        <w:t xml:space="preserve">Przewody instalacji elektrycznej należy prowadzić </w:t>
      </w:r>
      <w:r w:rsidR="00B133C6">
        <w:rPr>
          <w:rFonts w:ascii="Verdana" w:hAnsi="Verdana"/>
          <w:sz w:val="18"/>
          <w:szCs w:val="18"/>
        </w:rPr>
        <w:t>pod tynkiem</w:t>
      </w:r>
      <w:r w:rsidRPr="007D207D">
        <w:rPr>
          <w:rFonts w:ascii="Verdana" w:hAnsi="Verdana"/>
          <w:sz w:val="18"/>
          <w:szCs w:val="18"/>
        </w:rPr>
        <w:t xml:space="preserve">, możliwie najkrótszą </w:t>
      </w:r>
      <w:proofErr w:type="gramStart"/>
      <w:r w:rsidRPr="007D207D">
        <w:rPr>
          <w:rFonts w:ascii="Verdana" w:hAnsi="Verdana"/>
          <w:sz w:val="18"/>
          <w:szCs w:val="18"/>
        </w:rPr>
        <w:t>trasą,</w:t>
      </w:r>
      <w:proofErr w:type="gramEnd"/>
      <w:r w:rsidRPr="007D207D">
        <w:rPr>
          <w:rFonts w:ascii="Verdana" w:hAnsi="Verdana"/>
          <w:sz w:val="18"/>
          <w:szCs w:val="18"/>
        </w:rPr>
        <w:t xml:space="preserve"> (równolegle i prostopadle do krawędzi ścian i podłóg), np. korytarzami z przepustem do następnej kondygnacji. Nowe okablowanie będą prowadzone częściowo po trasie istniejących przewodów, które podlegają wymianie. Przepusty kabli przez stropy należy zabezpieczyć przed uszkodzeniami mechanicznymi za pomocą rur osłonowych. Przepusty kabli oraz przewody należy prowadzić w sposób umożliwiający ich wymianę bez potrzeby naruszania konstrukcji budynku. Dopuszcza się wykorzystanie istniejących ciągów komunikacyjnych i szachtów instalacyjnych. Bruzdy, po ułożeniu kabli, należy zatynkować i pomalować dwukrotnie farbą przywracając stan istniejący w danym pomieszczeniu. W czasie prowadzenia prac, przy bruzdowaniu i wymianie okablowania, przewody, które nie zostają wymieniane należy zabezpieczyć przed uszkodzeniem. W przypadku uszkodzenia przewodu niepodlegającego wymianie, przewód należy wymienić na całej długości. Przewody gniazd wtykowych oraz przewody instalacji oświetleniowej należy prowadzić w liniach prostych, równoległych do krawędzi ścian i stropów w korytach instalacyjnych w sposób niekolidujący z instalacjami pozostałych branż oraz nie bliżej niż 1,5 m od źródła ciepła (kaloryfery). Lokalizację gniazd należy ustalić z Zamawiającym. </w:t>
      </w:r>
    </w:p>
    <w:p w14:paraId="6A08FDFF" w14:textId="77777777" w:rsidR="00CC33F4" w:rsidRDefault="00CC33F4" w:rsidP="00CC33F4">
      <w:pPr>
        <w:tabs>
          <w:tab w:val="num" w:pos="0"/>
          <w:tab w:val="left" w:pos="680"/>
        </w:tabs>
        <w:spacing w:line="276" w:lineRule="auto"/>
        <w:ind w:right="25"/>
        <w:jc w:val="both"/>
        <w:rPr>
          <w:rFonts w:ascii="Verdana" w:hAnsi="Verdana"/>
          <w:sz w:val="18"/>
          <w:szCs w:val="18"/>
        </w:rPr>
      </w:pPr>
    </w:p>
    <w:p w14:paraId="3A918DD7" w14:textId="2FC66B24" w:rsidR="00CC33F4" w:rsidRPr="007D207D" w:rsidRDefault="00CC33F4" w:rsidP="00CC33F4">
      <w:pPr>
        <w:tabs>
          <w:tab w:val="num" w:pos="0"/>
          <w:tab w:val="left" w:pos="680"/>
        </w:tabs>
        <w:spacing w:line="276" w:lineRule="auto"/>
        <w:ind w:right="25"/>
        <w:jc w:val="both"/>
        <w:rPr>
          <w:rFonts w:ascii="Verdana" w:hAnsi="Verdana"/>
          <w:sz w:val="18"/>
          <w:szCs w:val="18"/>
        </w:rPr>
      </w:pPr>
      <w:r w:rsidRPr="007D207D">
        <w:rPr>
          <w:rFonts w:ascii="Verdana" w:hAnsi="Verdana"/>
          <w:sz w:val="18"/>
          <w:szCs w:val="18"/>
        </w:rPr>
        <w:t xml:space="preserve">Prowadzenie instalacji i rozmieszczenie urządzeń elektrycznych w budynku powinno zapewniać bezkolizyjność z innymi instalacjami w zakresie odległości i ich wzajemnego usytuowania oraz uwzględniać warunki określone w § 164. ROZPORZĄDZENIA MINISTRA INFRASTRUKTURY z dnia 12 kwietnia 2002r z </w:t>
      </w:r>
      <w:proofErr w:type="spellStart"/>
      <w:r w:rsidRPr="007D207D">
        <w:rPr>
          <w:rFonts w:ascii="Verdana" w:hAnsi="Verdana"/>
          <w:sz w:val="18"/>
          <w:szCs w:val="18"/>
        </w:rPr>
        <w:t>późn</w:t>
      </w:r>
      <w:proofErr w:type="spellEnd"/>
      <w:r w:rsidRPr="007D207D">
        <w:rPr>
          <w:rFonts w:ascii="Verdana" w:hAnsi="Verdana"/>
          <w:sz w:val="18"/>
          <w:szCs w:val="18"/>
        </w:rPr>
        <w:t>. zmian. W sprawie warunków technicznych, jakim powinny odpowiadać budynki i ich usytuowanie.</w:t>
      </w:r>
    </w:p>
    <w:p w14:paraId="4C5ABB69" w14:textId="77777777" w:rsidR="00CC33F4" w:rsidRPr="007D207D" w:rsidRDefault="00CC33F4" w:rsidP="00CC33F4">
      <w:pPr>
        <w:tabs>
          <w:tab w:val="num" w:pos="0"/>
        </w:tabs>
        <w:spacing w:line="276" w:lineRule="auto"/>
        <w:ind w:right="25"/>
        <w:jc w:val="both"/>
        <w:textAlignment w:val="baseline"/>
        <w:rPr>
          <w:rFonts w:ascii="Verdana" w:hAnsi="Verdana"/>
          <w:sz w:val="18"/>
          <w:szCs w:val="18"/>
        </w:rPr>
      </w:pPr>
    </w:p>
    <w:sectPr w:rsidR="00CC33F4" w:rsidRPr="007D207D" w:rsidSect="00B70A9E">
      <w:pgSz w:w="11906" w:h="16838"/>
      <w:pgMar w:top="709" w:right="851" w:bottom="141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1"/>
    <w:family w:val="auto"/>
    <w:pitch w:val="variable"/>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3507C"/>
    <w:multiLevelType w:val="multilevel"/>
    <w:tmpl w:val="D41019AC"/>
    <w:lvl w:ilvl="0">
      <w:start w:val="1"/>
      <w:numFmt w:val="bullet"/>
      <w:lvlText w:val=""/>
      <w:lvlJc w:val="left"/>
      <w:pPr>
        <w:tabs>
          <w:tab w:val="num" w:pos="720"/>
        </w:tabs>
        <w:ind w:left="720" w:hanging="360"/>
      </w:pPr>
      <w:rPr>
        <w:rFonts w:ascii="Symbol" w:hAnsi="Symbol" w:cs="Symbol" w:hint="default"/>
        <w:color w:val="000000"/>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color w:val="000000"/>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color w:val="000000"/>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 w15:restartNumberingAfterBreak="0">
    <w:nsid w:val="13EA2A9C"/>
    <w:multiLevelType w:val="hybridMultilevel"/>
    <w:tmpl w:val="AA48FC38"/>
    <w:lvl w:ilvl="0" w:tplc="8BE0B934">
      <w:numFmt w:val="bullet"/>
      <w:lvlText w:val="•"/>
      <w:lvlJc w:val="left"/>
      <w:pPr>
        <w:ind w:left="720" w:hanging="360"/>
      </w:pPr>
      <w:rPr>
        <w:rFonts w:ascii="Verdana" w:eastAsia="Times New Roman" w:hAnsi="Verdana"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5466B2"/>
    <w:multiLevelType w:val="multilevel"/>
    <w:tmpl w:val="250CA86E"/>
    <w:lvl w:ilvl="0">
      <w:start w:val="1"/>
      <w:numFmt w:val="bullet"/>
      <w:lvlText w:val=""/>
      <w:lvlJc w:val="left"/>
      <w:pPr>
        <w:tabs>
          <w:tab w:val="num" w:pos="720"/>
        </w:tabs>
        <w:ind w:left="720" w:hanging="360"/>
      </w:pPr>
      <w:rPr>
        <w:rFonts w:ascii="Symbol" w:hAnsi="Symbol" w:cs="Symbol" w:hint="default"/>
        <w:color w:val="000000"/>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color w:val="000000"/>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color w:val="000000"/>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3" w15:restartNumberingAfterBreak="0">
    <w:nsid w:val="21346FA0"/>
    <w:multiLevelType w:val="multilevel"/>
    <w:tmpl w:val="13D08EBC"/>
    <w:lvl w:ilvl="0">
      <w:start w:val="1"/>
      <w:numFmt w:val="bullet"/>
      <w:lvlText w:val=""/>
      <w:lvlJc w:val="left"/>
      <w:pPr>
        <w:tabs>
          <w:tab w:val="num" w:pos="0"/>
        </w:tabs>
        <w:ind w:left="1435" w:hanging="360"/>
      </w:pPr>
      <w:rPr>
        <w:rFonts w:ascii="Wingdings" w:hAnsi="Wingdings" w:cs="Wingdings" w:hint="default"/>
        <w:sz w:val="22"/>
        <w:szCs w:val="22"/>
        <w:lang w:val="pl-PL" w:eastAsia="ar-SA" w:bidi="ar-SA"/>
      </w:rPr>
    </w:lvl>
    <w:lvl w:ilvl="1">
      <w:numFmt w:val="bullet"/>
      <w:lvlText w:val="o"/>
      <w:lvlJc w:val="left"/>
      <w:pPr>
        <w:tabs>
          <w:tab w:val="num" w:pos="0"/>
        </w:tabs>
        <w:ind w:left="2155" w:hanging="360"/>
      </w:pPr>
      <w:rPr>
        <w:rFonts w:ascii="Courier New" w:hAnsi="Courier New" w:cs="Courier New" w:hint="default"/>
      </w:rPr>
    </w:lvl>
    <w:lvl w:ilvl="2">
      <w:numFmt w:val="bullet"/>
      <w:lvlText w:val=""/>
      <w:lvlJc w:val="left"/>
      <w:pPr>
        <w:tabs>
          <w:tab w:val="num" w:pos="0"/>
        </w:tabs>
        <w:ind w:left="2875" w:hanging="360"/>
      </w:pPr>
      <w:rPr>
        <w:rFonts w:ascii="Wingdings" w:hAnsi="Wingdings" w:cs="Wingdings" w:hint="default"/>
      </w:rPr>
    </w:lvl>
    <w:lvl w:ilvl="3">
      <w:numFmt w:val="bullet"/>
      <w:lvlText w:val=""/>
      <w:lvlJc w:val="left"/>
      <w:pPr>
        <w:tabs>
          <w:tab w:val="num" w:pos="0"/>
        </w:tabs>
        <w:ind w:left="3595" w:hanging="360"/>
      </w:pPr>
      <w:rPr>
        <w:rFonts w:ascii="Symbol" w:hAnsi="Symbol" w:cs="Symbol" w:hint="default"/>
        <w:sz w:val="22"/>
        <w:szCs w:val="22"/>
        <w:lang w:val="pl-PL" w:eastAsia="ar-SA" w:bidi="ar-SA"/>
      </w:rPr>
    </w:lvl>
    <w:lvl w:ilvl="4">
      <w:numFmt w:val="bullet"/>
      <w:lvlText w:val="o"/>
      <w:lvlJc w:val="left"/>
      <w:pPr>
        <w:tabs>
          <w:tab w:val="num" w:pos="0"/>
        </w:tabs>
        <w:ind w:left="4315" w:hanging="360"/>
      </w:pPr>
      <w:rPr>
        <w:rFonts w:ascii="Courier New" w:hAnsi="Courier New" w:cs="Courier New" w:hint="default"/>
      </w:rPr>
    </w:lvl>
    <w:lvl w:ilvl="5">
      <w:numFmt w:val="bullet"/>
      <w:lvlText w:val=""/>
      <w:lvlJc w:val="left"/>
      <w:pPr>
        <w:tabs>
          <w:tab w:val="num" w:pos="0"/>
        </w:tabs>
        <w:ind w:left="5035" w:hanging="360"/>
      </w:pPr>
      <w:rPr>
        <w:rFonts w:ascii="Wingdings" w:hAnsi="Wingdings" w:cs="Wingdings" w:hint="default"/>
      </w:rPr>
    </w:lvl>
    <w:lvl w:ilvl="6">
      <w:numFmt w:val="bullet"/>
      <w:lvlText w:val=""/>
      <w:lvlJc w:val="left"/>
      <w:pPr>
        <w:tabs>
          <w:tab w:val="num" w:pos="0"/>
        </w:tabs>
        <w:ind w:left="5755" w:hanging="360"/>
      </w:pPr>
      <w:rPr>
        <w:rFonts w:ascii="Symbol" w:hAnsi="Symbol" w:cs="Symbol" w:hint="default"/>
        <w:sz w:val="22"/>
        <w:szCs w:val="22"/>
        <w:lang w:val="pl-PL" w:eastAsia="ar-SA" w:bidi="ar-SA"/>
      </w:rPr>
    </w:lvl>
    <w:lvl w:ilvl="7">
      <w:numFmt w:val="bullet"/>
      <w:lvlText w:val="o"/>
      <w:lvlJc w:val="left"/>
      <w:pPr>
        <w:tabs>
          <w:tab w:val="num" w:pos="0"/>
        </w:tabs>
        <w:ind w:left="6475" w:hanging="360"/>
      </w:pPr>
      <w:rPr>
        <w:rFonts w:ascii="Courier New" w:hAnsi="Courier New" w:cs="Courier New" w:hint="default"/>
      </w:rPr>
    </w:lvl>
    <w:lvl w:ilvl="8">
      <w:numFmt w:val="bullet"/>
      <w:lvlText w:val=""/>
      <w:lvlJc w:val="left"/>
      <w:pPr>
        <w:tabs>
          <w:tab w:val="num" w:pos="0"/>
        </w:tabs>
        <w:ind w:left="7195" w:hanging="360"/>
      </w:pPr>
      <w:rPr>
        <w:rFonts w:ascii="Wingdings" w:hAnsi="Wingdings" w:cs="Wingdings" w:hint="default"/>
      </w:rPr>
    </w:lvl>
  </w:abstractNum>
  <w:abstractNum w:abstractNumId="4" w15:restartNumberingAfterBreak="0">
    <w:nsid w:val="23150289"/>
    <w:multiLevelType w:val="multilevel"/>
    <w:tmpl w:val="F8F2E078"/>
    <w:lvl w:ilvl="0">
      <w:start w:val="1"/>
      <w:numFmt w:val="bullet"/>
      <w:lvlText w:val=""/>
      <w:lvlJc w:val="left"/>
      <w:pPr>
        <w:tabs>
          <w:tab w:val="num" w:pos="720"/>
        </w:tabs>
        <w:ind w:left="720" w:hanging="360"/>
      </w:pPr>
      <w:rPr>
        <w:rFonts w:ascii="Symbol" w:hAnsi="Symbol" w:cs="Symbol" w:hint="default"/>
        <w:color w:val="000000"/>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color w:val="000000"/>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color w:val="000000"/>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5" w15:restartNumberingAfterBreak="0">
    <w:nsid w:val="3E667D30"/>
    <w:multiLevelType w:val="multilevel"/>
    <w:tmpl w:val="FABC9F2A"/>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52C0576C"/>
    <w:multiLevelType w:val="multilevel"/>
    <w:tmpl w:val="29B0CBDC"/>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7" w15:restartNumberingAfterBreak="0">
    <w:nsid w:val="53EF2D5D"/>
    <w:multiLevelType w:val="multilevel"/>
    <w:tmpl w:val="FD2C0868"/>
    <w:lvl w:ilvl="0">
      <w:start w:val="1"/>
      <w:numFmt w:val="none"/>
      <w:pStyle w:val="Nagwek1"/>
      <w:suff w:val="nothing"/>
      <w:lvlText w:val=""/>
      <w:lvlJc w:val="left"/>
      <w:pPr>
        <w:tabs>
          <w:tab w:val="num" w:pos="0"/>
        </w:tabs>
        <w:ind w:left="432" w:hanging="432"/>
      </w:pPr>
      <w:rPr>
        <w:rFonts w:eastAsia="OpenSymbol" w:cs="OpenSymbol"/>
        <w:sz w:val="22"/>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8" w15:restartNumberingAfterBreak="0">
    <w:nsid w:val="574A7BA2"/>
    <w:multiLevelType w:val="multilevel"/>
    <w:tmpl w:val="8EEEA73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9" w15:restartNumberingAfterBreak="0">
    <w:nsid w:val="580464F8"/>
    <w:multiLevelType w:val="multilevel"/>
    <w:tmpl w:val="A8B0F91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7"/>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4"/>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6C391FBE"/>
    <w:multiLevelType w:val="multilevel"/>
    <w:tmpl w:val="0150A52C"/>
    <w:lvl w:ilvl="0">
      <w:start w:val="1"/>
      <w:numFmt w:val="none"/>
      <w:suff w:val="nothing"/>
      <w:lvlText w:val=""/>
      <w:lvlJc w:val="left"/>
      <w:pPr>
        <w:tabs>
          <w:tab w:val="num" w:pos="0"/>
        </w:tabs>
        <w:ind w:left="432" w:hanging="432"/>
      </w:pPr>
      <w:rPr>
        <w:rFonts w:eastAsia="OpenSymbol" w:cs="Open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717F5F55"/>
    <w:multiLevelType w:val="multilevel"/>
    <w:tmpl w:val="189A1D3C"/>
    <w:lvl w:ilvl="0">
      <w:start w:val="1"/>
      <w:numFmt w:val="bullet"/>
      <w:lvlText w:val=""/>
      <w:lvlJc w:val="left"/>
      <w:pPr>
        <w:tabs>
          <w:tab w:val="num" w:pos="720"/>
        </w:tabs>
        <w:ind w:left="720" w:hanging="360"/>
      </w:pPr>
      <w:rPr>
        <w:rFonts w:ascii="Symbol" w:hAnsi="Symbol" w:cs="Symbol" w:hint="default"/>
        <w:color w:val="000000"/>
        <w:sz w:val="18"/>
        <w:szCs w:val="18"/>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color w:val="000000"/>
        <w:sz w:val="18"/>
        <w:szCs w:val="18"/>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color w:val="000000"/>
        <w:sz w:val="18"/>
        <w:szCs w:val="18"/>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2" w15:restartNumberingAfterBreak="0">
    <w:nsid w:val="73A41E0E"/>
    <w:multiLevelType w:val="multilevel"/>
    <w:tmpl w:val="6E6CA67A"/>
    <w:lvl w:ilvl="0">
      <w:start w:val="1"/>
      <w:numFmt w:val="bullet"/>
      <w:lvlText w:val=""/>
      <w:lvlJc w:val="left"/>
      <w:pPr>
        <w:tabs>
          <w:tab w:val="num" w:pos="720"/>
        </w:tabs>
        <w:ind w:left="794" w:hanging="434"/>
      </w:pPr>
      <w:rPr>
        <w:rFonts w:ascii="Symbol" w:hAnsi="Symbol" w:cs="Symbol" w:hint="default"/>
        <w:color w:val="000000"/>
        <w:spacing w:val="-2"/>
        <w:sz w:val="18"/>
        <w:szCs w:val="18"/>
        <w:highlight w:val="white"/>
        <w:lang w:val="pl-PL" w:eastAsia="pl-PL" w:bidi="ar-SA"/>
      </w:rPr>
    </w:lvl>
    <w:lvl w:ilvl="1">
      <w:start w:val="1"/>
      <w:numFmt w:val="bullet"/>
      <w:lvlText w:val="◦"/>
      <w:lvlJc w:val="left"/>
      <w:pPr>
        <w:tabs>
          <w:tab w:val="num" w:pos="1080"/>
        </w:tabs>
        <w:ind w:left="1080" w:hanging="360"/>
      </w:pPr>
      <w:rPr>
        <w:rFonts w:ascii="OpenSymbol" w:hAnsi="OpenSymbol" w:cs="OpenSymbol" w:hint="default"/>
        <w:sz w:val="18"/>
        <w:szCs w:val="18"/>
      </w:rPr>
    </w:lvl>
    <w:lvl w:ilvl="2">
      <w:start w:val="1"/>
      <w:numFmt w:val="bullet"/>
      <w:lvlText w:val="▪"/>
      <w:lvlJc w:val="left"/>
      <w:pPr>
        <w:tabs>
          <w:tab w:val="num" w:pos="1440"/>
        </w:tabs>
        <w:ind w:left="1440" w:hanging="360"/>
      </w:pPr>
      <w:rPr>
        <w:rFonts w:ascii="OpenSymbol" w:hAnsi="OpenSymbol" w:cs="OpenSymbol" w:hint="default"/>
        <w:sz w:val="18"/>
        <w:szCs w:val="18"/>
      </w:rPr>
    </w:lvl>
    <w:lvl w:ilvl="3">
      <w:start w:val="1"/>
      <w:numFmt w:val="bullet"/>
      <w:lvlText w:val=""/>
      <w:lvlJc w:val="left"/>
      <w:pPr>
        <w:tabs>
          <w:tab w:val="num" w:pos="1800"/>
        </w:tabs>
        <w:ind w:left="1800" w:hanging="360"/>
      </w:pPr>
      <w:rPr>
        <w:rFonts w:ascii="Symbol" w:hAnsi="Symbol" w:cs="Symbol" w:hint="default"/>
        <w:color w:val="000000"/>
        <w:spacing w:val="-2"/>
        <w:sz w:val="18"/>
        <w:szCs w:val="18"/>
        <w:highlight w:val="white"/>
        <w:lang w:val="pl-PL" w:eastAsia="pl-PL" w:bidi="ar-SA"/>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cs="Symbol" w:hint="default"/>
        <w:color w:val="000000"/>
        <w:spacing w:val="-2"/>
        <w:sz w:val="18"/>
        <w:szCs w:val="18"/>
        <w:highlight w:val="white"/>
        <w:lang w:val="pl-PL" w:eastAsia="pl-PL" w:bidi="ar-SA"/>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13" w15:restartNumberingAfterBreak="0">
    <w:nsid w:val="74B224D8"/>
    <w:multiLevelType w:val="hybridMultilevel"/>
    <w:tmpl w:val="3912E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CE93D5B"/>
    <w:multiLevelType w:val="multilevel"/>
    <w:tmpl w:val="3ECEC1B6"/>
    <w:lvl w:ilvl="0">
      <w:start w:val="1"/>
      <w:numFmt w:val="bullet"/>
      <w:lvlText w:val=""/>
      <w:lvlJc w:val="left"/>
      <w:pPr>
        <w:tabs>
          <w:tab w:val="num" w:pos="0"/>
        </w:tabs>
        <w:ind w:left="720" w:hanging="360"/>
      </w:pPr>
      <w:rPr>
        <w:rFonts w:ascii="Symbol" w:hAnsi="Symbol" w:cs="Symbol"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color w:val="00000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color w:val="00000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12208934">
    <w:abstractNumId w:val="7"/>
  </w:num>
  <w:num w:numId="2" w16cid:durableId="1534150388">
    <w:abstractNumId w:val="10"/>
  </w:num>
  <w:num w:numId="3" w16cid:durableId="114644060">
    <w:abstractNumId w:val="5"/>
  </w:num>
  <w:num w:numId="4" w16cid:durableId="565917584">
    <w:abstractNumId w:val="0"/>
  </w:num>
  <w:num w:numId="5" w16cid:durableId="230771299">
    <w:abstractNumId w:val="2"/>
  </w:num>
  <w:num w:numId="6" w16cid:durableId="2035183620">
    <w:abstractNumId w:val="4"/>
  </w:num>
  <w:num w:numId="7" w16cid:durableId="1993755313">
    <w:abstractNumId w:val="11"/>
  </w:num>
  <w:num w:numId="8" w16cid:durableId="748426852">
    <w:abstractNumId w:val="6"/>
  </w:num>
  <w:num w:numId="9" w16cid:durableId="138768804">
    <w:abstractNumId w:val="14"/>
  </w:num>
  <w:num w:numId="10" w16cid:durableId="1734155038">
    <w:abstractNumId w:val="8"/>
  </w:num>
  <w:num w:numId="11" w16cid:durableId="1210991871">
    <w:abstractNumId w:val="12"/>
  </w:num>
  <w:num w:numId="12" w16cid:durableId="1700472850">
    <w:abstractNumId w:val="9"/>
  </w:num>
  <w:num w:numId="13" w16cid:durableId="2135515940">
    <w:abstractNumId w:val="3"/>
  </w:num>
  <w:num w:numId="14" w16cid:durableId="256522746">
    <w:abstractNumId w:val="13"/>
  </w:num>
  <w:num w:numId="15" w16cid:durableId="1368331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55B"/>
    <w:rsid w:val="000E6B38"/>
    <w:rsid w:val="001B4146"/>
    <w:rsid w:val="001C7C8A"/>
    <w:rsid w:val="0020738D"/>
    <w:rsid w:val="002420A1"/>
    <w:rsid w:val="00252705"/>
    <w:rsid w:val="002A778A"/>
    <w:rsid w:val="004A055B"/>
    <w:rsid w:val="005015A2"/>
    <w:rsid w:val="00591150"/>
    <w:rsid w:val="006F0278"/>
    <w:rsid w:val="00710C1F"/>
    <w:rsid w:val="007155AA"/>
    <w:rsid w:val="007B77BB"/>
    <w:rsid w:val="007F3E25"/>
    <w:rsid w:val="008039EC"/>
    <w:rsid w:val="008420B6"/>
    <w:rsid w:val="008E49C2"/>
    <w:rsid w:val="0092658C"/>
    <w:rsid w:val="009500D7"/>
    <w:rsid w:val="00AF406C"/>
    <w:rsid w:val="00B133C6"/>
    <w:rsid w:val="00B70A9E"/>
    <w:rsid w:val="00BA2008"/>
    <w:rsid w:val="00CC33F4"/>
    <w:rsid w:val="00D1316C"/>
    <w:rsid w:val="00D91894"/>
    <w:rsid w:val="00DF7750"/>
    <w:rsid w:val="00E90F86"/>
    <w:rsid w:val="00F65D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39B1D"/>
  <w15:chartTrackingRefBased/>
  <w15:docId w15:val="{BAAFD39A-88D0-4C8A-A937-218B81B2D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Theme="minorHAnsi" w:hAnsi="Aptos"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055B"/>
    <w:pPr>
      <w:suppressAutoHyphens/>
      <w:spacing w:after="0" w:line="240" w:lineRule="auto"/>
    </w:pPr>
    <w:rPr>
      <w:rFonts w:ascii="Arial" w:eastAsia="Times New Roman" w:hAnsi="Arial" w:cs="Arial"/>
      <w:szCs w:val="20"/>
      <w:lang w:eastAsia="zh-CN"/>
      <w14:ligatures w14:val="none"/>
    </w:rPr>
  </w:style>
  <w:style w:type="paragraph" w:styleId="Nagwek1">
    <w:name w:val="heading 1"/>
    <w:basedOn w:val="Normalny"/>
    <w:next w:val="Normalny"/>
    <w:link w:val="Nagwek1Znak"/>
    <w:qFormat/>
    <w:rsid w:val="004A055B"/>
    <w:pPr>
      <w:keepNext/>
      <w:numPr>
        <w:numId w:val="1"/>
      </w:numPr>
      <w:outlineLvl w:val="0"/>
    </w:pPr>
    <w:rPr>
      <w:rFonts w:cs="Courier New"/>
      <w:b/>
      <w:spacing w:val="-20"/>
      <w:sz w:val="32"/>
    </w:rPr>
  </w:style>
  <w:style w:type="paragraph" w:styleId="Nagwek2">
    <w:name w:val="heading 2"/>
    <w:basedOn w:val="Normalny"/>
    <w:next w:val="Normalny"/>
    <w:link w:val="Nagwek2Znak"/>
    <w:qFormat/>
    <w:rsid w:val="004A055B"/>
    <w:pPr>
      <w:keepNext/>
      <w:numPr>
        <w:ilvl w:val="1"/>
        <w:numId w:val="1"/>
      </w:numPr>
      <w:outlineLvl w:val="1"/>
    </w:pPr>
    <w:rPr>
      <w:b/>
      <w:spacing w:val="-20"/>
      <w:sz w:val="28"/>
      <w:u w:val="single"/>
    </w:rPr>
  </w:style>
  <w:style w:type="paragraph" w:styleId="Nagwek3">
    <w:name w:val="heading 3"/>
    <w:basedOn w:val="Normalny"/>
    <w:next w:val="Normalny"/>
    <w:link w:val="Nagwek3Znak"/>
    <w:qFormat/>
    <w:rsid w:val="004A055B"/>
    <w:pPr>
      <w:keepNext/>
      <w:numPr>
        <w:ilvl w:val="2"/>
        <w:numId w:val="1"/>
      </w:numPr>
      <w:ind w:left="397" w:firstLine="0"/>
      <w:outlineLvl w:val="2"/>
    </w:pPr>
    <w:rPr>
      <w:rFonts w:ascii="Arial Narrow" w:hAnsi="Arial Narrow" w:cs="Arial Narrow"/>
      <w:b/>
      <w:spacing w:val="-20"/>
      <w:u w:val="single"/>
    </w:rPr>
  </w:style>
  <w:style w:type="paragraph" w:styleId="Nagwek4">
    <w:name w:val="heading 4"/>
    <w:basedOn w:val="Normalny"/>
    <w:next w:val="Normalny"/>
    <w:link w:val="Nagwek4Znak"/>
    <w:qFormat/>
    <w:rsid w:val="004A055B"/>
    <w:pPr>
      <w:keepNext/>
      <w:numPr>
        <w:ilvl w:val="3"/>
        <w:numId w:val="1"/>
      </w:numPr>
      <w:outlineLvl w:val="3"/>
    </w:pPr>
    <w:rPr>
      <w:b/>
      <w:spacing w:val="-20"/>
    </w:rPr>
  </w:style>
  <w:style w:type="paragraph" w:styleId="Nagwek5">
    <w:name w:val="heading 5"/>
    <w:basedOn w:val="Normalny"/>
    <w:next w:val="Normalny"/>
    <w:link w:val="Nagwek5Znak"/>
    <w:qFormat/>
    <w:rsid w:val="004A055B"/>
    <w:pPr>
      <w:keepNext/>
      <w:numPr>
        <w:ilvl w:val="4"/>
        <w:numId w:val="1"/>
      </w:numPr>
      <w:outlineLvl w:val="4"/>
    </w:pPr>
    <w:rPr>
      <w:sz w:val="24"/>
    </w:rPr>
  </w:style>
  <w:style w:type="paragraph" w:styleId="Nagwek6">
    <w:name w:val="heading 6"/>
    <w:basedOn w:val="Normalny"/>
    <w:next w:val="Normalny"/>
    <w:link w:val="Nagwek6Znak"/>
    <w:qFormat/>
    <w:rsid w:val="004A055B"/>
    <w:pPr>
      <w:keepNext/>
      <w:numPr>
        <w:ilvl w:val="5"/>
        <w:numId w:val="1"/>
      </w:numPr>
      <w:ind w:left="2124" w:firstLine="708"/>
      <w:outlineLvl w:val="5"/>
    </w:pPr>
    <w:rPr>
      <w:rFonts w:ascii="Arial Narrow" w:hAnsi="Arial Narrow" w:cs="Arial Narrow"/>
      <w:b/>
      <w:sz w:val="28"/>
    </w:rPr>
  </w:style>
  <w:style w:type="paragraph" w:styleId="Nagwek7">
    <w:name w:val="heading 7"/>
    <w:basedOn w:val="Normalny"/>
    <w:next w:val="Normalny"/>
    <w:link w:val="Nagwek7Znak"/>
    <w:qFormat/>
    <w:rsid w:val="004A055B"/>
    <w:pPr>
      <w:keepNext/>
      <w:numPr>
        <w:ilvl w:val="6"/>
        <w:numId w:val="1"/>
      </w:numPr>
      <w:jc w:val="both"/>
      <w:outlineLvl w:val="6"/>
    </w:pPr>
    <w:rPr>
      <w:rFonts w:ascii="Arial Narrow" w:hAnsi="Arial Narrow" w:cs="Arial Narrow"/>
    </w:rPr>
  </w:style>
  <w:style w:type="paragraph" w:styleId="Nagwek8">
    <w:name w:val="heading 8"/>
    <w:basedOn w:val="Normalny"/>
    <w:next w:val="Normalny"/>
    <w:link w:val="Nagwek8Znak"/>
    <w:qFormat/>
    <w:rsid w:val="004A055B"/>
    <w:pPr>
      <w:keepNext/>
      <w:numPr>
        <w:ilvl w:val="7"/>
        <w:numId w:val="1"/>
      </w:numPr>
      <w:tabs>
        <w:tab w:val="left" w:pos="5387"/>
      </w:tabs>
      <w:ind w:left="0" w:firstLine="426"/>
      <w:jc w:val="center"/>
      <w:outlineLvl w:val="7"/>
    </w:pPr>
    <w:rPr>
      <w:rFonts w:ascii="Arial Narrow" w:hAnsi="Arial Narrow" w:cs="Arial Narrow"/>
      <w:b/>
      <w:spacing w:val="-20"/>
      <w:sz w:val="32"/>
    </w:rPr>
  </w:style>
  <w:style w:type="paragraph" w:styleId="Nagwek9">
    <w:name w:val="heading 9"/>
    <w:basedOn w:val="Normalny"/>
    <w:next w:val="Normalny"/>
    <w:link w:val="Nagwek9Znak"/>
    <w:qFormat/>
    <w:rsid w:val="004A055B"/>
    <w:pPr>
      <w:keepNext/>
      <w:numPr>
        <w:ilvl w:val="8"/>
        <w:numId w:val="1"/>
      </w:numP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A055B"/>
    <w:rPr>
      <w:rFonts w:ascii="Arial" w:eastAsia="Times New Roman" w:hAnsi="Arial" w:cs="Courier New"/>
      <w:b/>
      <w:spacing w:val="-20"/>
      <w:sz w:val="32"/>
      <w:szCs w:val="20"/>
      <w:lang w:eastAsia="zh-CN"/>
      <w14:ligatures w14:val="none"/>
    </w:rPr>
  </w:style>
  <w:style w:type="character" w:customStyle="1" w:styleId="Nagwek2Znak">
    <w:name w:val="Nagłówek 2 Znak"/>
    <w:basedOn w:val="Domylnaczcionkaakapitu"/>
    <w:link w:val="Nagwek2"/>
    <w:rsid w:val="004A055B"/>
    <w:rPr>
      <w:rFonts w:ascii="Arial" w:eastAsia="Times New Roman" w:hAnsi="Arial" w:cs="Arial"/>
      <w:b/>
      <w:spacing w:val="-20"/>
      <w:sz w:val="28"/>
      <w:szCs w:val="20"/>
      <w:u w:val="single"/>
      <w:lang w:eastAsia="zh-CN"/>
      <w14:ligatures w14:val="none"/>
    </w:rPr>
  </w:style>
  <w:style w:type="character" w:customStyle="1" w:styleId="Nagwek3Znak">
    <w:name w:val="Nagłówek 3 Znak"/>
    <w:basedOn w:val="Domylnaczcionkaakapitu"/>
    <w:link w:val="Nagwek3"/>
    <w:rsid w:val="004A055B"/>
    <w:rPr>
      <w:rFonts w:ascii="Arial Narrow" w:eastAsia="Times New Roman" w:hAnsi="Arial Narrow" w:cs="Arial Narrow"/>
      <w:b/>
      <w:spacing w:val="-20"/>
      <w:szCs w:val="20"/>
      <w:u w:val="single"/>
      <w:lang w:eastAsia="zh-CN"/>
      <w14:ligatures w14:val="none"/>
    </w:rPr>
  </w:style>
  <w:style w:type="character" w:customStyle="1" w:styleId="Nagwek4Znak">
    <w:name w:val="Nagłówek 4 Znak"/>
    <w:basedOn w:val="Domylnaczcionkaakapitu"/>
    <w:link w:val="Nagwek4"/>
    <w:rsid w:val="004A055B"/>
    <w:rPr>
      <w:rFonts w:ascii="Arial" w:eastAsia="Times New Roman" w:hAnsi="Arial" w:cs="Arial"/>
      <w:b/>
      <w:spacing w:val="-20"/>
      <w:szCs w:val="20"/>
      <w:lang w:eastAsia="zh-CN"/>
      <w14:ligatures w14:val="none"/>
    </w:rPr>
  </w:style>
  <w:style w:type="character" w:customStyle="1" w:styleId="Nagwek5Znak">
    <w:name w:val="Nagłówek 5 Znak"/>
    <w:basedOn w:val="Domylnaczcionkaakapitu"/>
    <w:link w:val="Nagwek5"/>
    <w:rsid w:val="004A055B"/>
    <w:rPr>
      <w:rFonts w:ascii="Arial" w:eastAsia="Times New Roman" w:hAnsi="Arial" w:cs="Arial"/>
      <w:sz w:val="24"/>
      <w:szCs w:val="20"/>
      <w:lang w:eastAsia="zh-CN"/>
      <w14:ligatures w14:val="none"/>
    </w:rPr>
  </w:style>
  <w:style w:type="character" w:customStyle="1" w:styleId="Nagwek6Znak">
    <w:name w:val="Nagłówek 6 Znak"/>
    <w:basedOn w:val="Domylnaczcionkaakapitu"/>
    <w:link w:val="Nagwek6"/>
    <w:rsid w:val="004A055B"/>
    <w:rPr>
      <w:rFonts w:ascii="Arial Narrow" w:eastAsia="Times New Roman" w:hAnsi="Arial Narrow" w:cs="Arial Narrow"/>
      <w:b/>
      <w:sz w:val="28"/>
      <w:szCs w:val="20"/>
      <w:lang w:eastAsia="zh-CN"/>
      <w14:ligatures w14:val="none"/>
    </w:rPr>
  </w:style>
  <w:style w:type="character" w:customStyle="1" w:styleId="Nagwek7Znak">
    <w:name w:val="Nagłówek 7 Znak"/>
    <w:basedOn w:val="Domylnaczcionkaakapitu"/>
    <w:link w:val="Nagwek7"/>
    <w:rsid w:val="004A055B"/>
    <w:rPr>
      <w:rFonts w:ascii="Arial Narrow" w:eastAsia="Times New Roman" w:hAnsi="Arial Narrow" w:cs="Arial Narrow"/>
      <w:szCs w:val="20"/>
      <w:lang w:eastAsia="zh-CN"/>
      <w14:ligatures w14:val="none"/>
    </w:rPr>
  </w:style>
  <w:style w:type="character" w:customStyle="1" w:styleId="Nagwek8Znak">
    <w:name w:val="Nagłówek 8 Znak"/>
    <w:basedOn w:val="Domylnaczcionkaakapitu"/>
    <w:link w:val="Nagwek8"/>
    <w:rsid w:val="004A055B"/>
    <w:rPr>
      <w:rFonts w:ascii="Arial Narrow" w:eastAsia="Times New Roman" w:hAnsi="Arial Narrow" w:cs="Arial Narrow"/>
      <w:b/>
      <w:spacing w:val="-20"/>
      <w:sz w:val="32"/>
      <w:szCs w:val="20"/>
      <w:lang w:eastAsia="zh-CN"/>
      <w14:ligatures w14:val="none"/>
    </w:rPr>
  </w:style>
  <w:style w:type="character" w:customStyle="1" w:styleId="Nagwek9Znak">
    <w:name w:val="Nagłówek 9 Znak"/>
    <w:basedOn w:val="Domylnaczcionkaakapitu"/>
    <w:link w:val="Nagwek9"/>
    <w:rsid w:val="004A055B"/>
    <w:rPr>
      <w:rFonts w:ascii="Arial" w:eastAsia="Times New Roman" w:hAnsi="Arial" w:cs="Arial"/>
      <w:b/>
      <w:szCs w:val="20"/>
      <w:lang w:eastAsia="zh-CN"/>
      <w14:ligatures w14:val="none"/>
    </w:rPr>
  </w:style>
  <w:style w:type="character" w:customStyle="1" w:styleId="CharacterStyle2">
    <w:name w:val="Character Style 2"/>
    <w:qFormat/>
    <w:rsid w:val="004A055B"/>
    <w:rPr>
      <w:sz w:val="20"/>
      <w:szCs w:val="20"/>
    </w:rPr>
  </w:style>
  <w:style w:type="character" w:customStyle="1" w:styleId="CharacterStyle1">
    <w:name w:val="Character Style 1"/>
    <w:qFormat/>
    <w:rsid w:val="004A055B"/>
    <w:rPr>
      <w:sz w:val="24"/>
      <w:szCs w:val="24"/>
    </w:rPr>
  </w:style>
  <w:style w:type="character" w:customStyle="1" w:styleId="AkapitzlistZnak">
    <w:name w:val="Akapit z listą Znak"/>
    <w:link w:val="Akapitzlist"/>
    <w:uiPriority w:val="34"/>
    <w:qFormat/>
    <w:rsid w:val="004A055B"/>
    <w:rPr>
      <w:rFonts w:ascii="Arial" w:hAnsi="Arial" w:cs="Arial"/>
      <w:lang w:eastAsia="zh-CN"/>
    </w:rPr>
  </w:style>
  <w:style w:type="character" w:customStyle="1" w:styleId="FontStyle27">
    <w:name w:val="Font Style27"/>
    <w:qFormat/>
    <w:rsid w:val="004A055B"/>
    <w:rPr>
      <w:rFonts w:ascii="Arial Narrow" w:hAnsi="Arial Narrow" w:cs="Arial Narrow"/>
      <w:sz w:val="22"/>
      <w:szCs w:val="22"/>
    </w:rPr>
  </w:style>
  <w:style w:type="character" w:customStyle="1" w:styleId="FontStyle58">
    <w:name w:val="Font Style58"/>
    <w:qFormat/>
    <w:rsid w:val="004A055B"/>
    <w:rPr>
      <w:rFonts w:ascii="Arial" w:hAnsi="Arial" w:cs="Arial"/>
      <w:sz w:val="20"/>
      <w:szCs w:val="20"/>
    </w:rPr>
  </w:style>
  <w:style w:type="character" w:customStyle="1" w:styleId="Pogrubienie1">
    <w:name w:val="Pogrubienie1"/>
    <w:basedOn w:val="Domylnaczcionkaakapitu"/>
    <w:qFormat/>
    <w:rsid w:val="004A055B"/>
    <w:rPr>
      <w:b/>
      <w:bCs/>
    </w:rPr>
  </w:style>
  <w:style w:type="paragraph" w:customStyle="1" w:styleId="Standard">
    <w:name w:val="Standard"/>
    <w:qFormat/>
    <w:rsid w:val="004A055B"/>
    <w:pPr>
      <w:suppressAutoHyphens/>
      <w:spacing w:after="0" w:line="240" w:lineRule="auto"/>
      <w:textAlignment w:val="baseline"/>
    </w:pPr>
    <w:rPr>
      <w:rFonts w:ascii="Times New Roman" w:eastAsia="Times New Roman" w:hAnsi="Times New Roman" w:cs="Times New Roman"/>
      <w:szCs w:val="20"/>
      <w:lang w:eastAsia="zh-CN"/>
      <w14:ligatures w14:val="none"/>
    </w:rPr>
  </w:style>
  <w:style w:type="paragraph" w:styleId="Akapitzlist">
    <w:name w:val="List Paragraph"/>
    <w:basedOn w:val="Normalny"/>
    <w:link w:val="AkapitzlistZnak"/>
    <w:uiPriority w:val="34"/>
    <w:qFormat/>
    <w:rsid w:val="004A055B"/>
    <w:pPr>
      <w:ind w:left="720"/>
    </w:pPr>
    <w:rPr>
      <w:rFonts w:eastAsiaTheme="minorHAnsi"/>
      <w:szCs w:val="22"/>
      <w14:ligatures w14:val="standardContextual"/>
    </w:rPr>
  </w:style>
  <w:style w:type="paragraph" w:customStyle="1" w:styleId="Akapitzlist1">
    <w:name w:val="Akapit z listą1"/>
    <w:basedOn w:val="Normalny"/>
    <w:qFormat/>
    <w:rsid w:val="004A055B"/>
  </w:style>
  <w:style w:type="paragraph" w:customStyle="1" w:styleId="Style1">
    <w:name w:val="Style1"/>
    <w:basedOn w:val="Normalny"/>
    <w:qFormat/>
    <w:rsid w:val="004A055B"/>
    <w:pPr>
      <w:widowControl w:val="0"/>
      <w:suppressAutoHyphens w:val="0"/>
      <w:spacing w:line="276" w:lineRule="exact"/>
      <w:jc w:val="both"/>
    </w:pPr>
    <w:rPr>
      <w:rFonts w:ascii="Arial Narrow" w:hAnsi="Arial Narrow" w:cs="Times New Roman"/>
      <w:sz w:val="24"/>
      <w:szCs w:val="24"/>
      <w:lang w:eastAsia="ar-SA"/>
    </w:rPr>
  </w:style>
  <w:style w:type="paragraph" w:customStyle="1" w:styleId="Style2">
    <w:name w:val="Style2"/>
    <w:basedOn w:val="Normalny"/>
    <w:qFormat/>
    <w:rsid w:val="004A055B"/>
    <w:pPr>
      <w:widowControl w:val="0"/>
      <w:suppressAutoHyphens w:val="0"/>
      <w:spacing w:line="218" w:lineRule="exact"/>
      <w:jc w:val="center"/>
    </w:pPr>
    <w:rPr>
      <w:rFonts w:ascii="Verdana" w:hAnsi="Verdana"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289056">
      <w:bodyDiv w:val="1"/>
      <w:marLeft w:val="0"/>
      <w:marRight w:val="0"/>
      <w:marTop w:val="0"/>
      <w:marBottom w:val="0"/>
      <w:divBdr>
        <w:top w:val="none" w:sz="0" w:space="0" w:color="auto"/>
        <w:left w:val="none" w:sz="0" w:space="0" w:color="auto"/>
        <w:bottom w:val="none" w:sz="0" w:space="0" w:color="auto"/>
        <w:right w:val="none" w:sz="0" w:space="0" w:color="auto"/>
      </w:divBdr>
    </w:div>
    <w:div w:id="643392764">
      <w:bodyDiv w:val="1"/>
      <w:marLeft w:val="0"/>
      <w:marRight w:val="0"/>
      <w:marTop w:val="0"/>
      <w:marBottom w:val="0"/>
      <w:divBdr>
        <w:top w:val="none" w:sz="0" w:space="0" w:color="auto"/>
        <w:left w:val="none" w:sz="0" w:space="0" w:color="auto"/>
        <w:bottom w:val="none" w:sz="0" w:space="0" w:color="auto"/>
        <w:right w:val="none" w:sz="0" w:space="0" w:color="auto"/>
      </w:divBdr>
    </w:div>
    <w:div w:id="790170806">
      <w:bodyDiv w:val="1"/>
      <w:marLeft w:val="0"/>
      <w:marRight w:val="0"/>
      <w:marTop w:val="0"/>
      <w:marBottom w:val="0"/>
      <w:divBdr>
        <w:top w:val="none" w:sz="0" w:space="0" w:color="auto"/>
        <w:left w:val="none" w:sz="0" w:space="0" w:color="auto"/>
        <w:bottom w:val="none" w:sz="0" w:space="0" w:color="auto"/>
        <w:right w:val="none" w:sz="0" w:space="0" w:color="auto"/>
      </w:divBdr>
    </w:div>
    <w:div w:id="1039742253">
      <w:bodyDiv w:val="1"/>
      <w:marLeft w:val="0"/>
      <w:marRight w:val="0"/>
      <w:marTop w:val="0"/>
      <w:marBottom w:val="0"/>
      <w:divBdr>
        <w:top w:val="none" w:sz="0" w:space="0" w:color="auto"/>
        <w:left w:val="none" w:sz="0" w:space="0" w:color="auto"/>
        <w:bottom w:val="none" w:sz="0" w:space="0" w:color="auto"/>
        <w:right w:val="none" w:sz="0" w:space="0" w:color="auto"/>
      </w:divBdr>
    </w:div>
    <w:div w:id="1530754101">
      <w:bodyDiv w:val="1"/>
      <w:marLeft w:val="0"/>
      <w:marRight w:val="0"/>
      <w:marTop w:val="0"/>
      <w:marBottom w:val="0"/>
      <w:divBdr>
        <w:top w:val="none" w:sz="0" w:space="0" w:color="auto"/>
        <w:left w:val="none" w:sz="0" w:space="0" w:color="auto"/>
        <w:bottom w:val="none" w:sz="0" w:space="0" w:color="auto"/>
        <w:right w:val="none" w:sz="0" w:space="0" w:color="auto"/>
      </w:divBdr>
    </w:div>
    <w:div w:id="205765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978</Words>
  <Characters>5872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Grojec</dc:creator>
  <cp:keywords/>
  <dc:description/>
  <cp:lastModifiedBy>Zofia Grojec</cp:lastModifiedBy>
  <cp:revision>2</cp:revision>
  <dcterms:created xsi:type="dcterms:W3CDTF">2025-06-25T11:38:00Z</dcterms:created>
  <dcterms:modified xsi:type="dcterms:W3CDTF">2025-06-25T11:38:00Z</dcterms:modified>
</cp:coreProperties>
</file>